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jc w:val="center"/>
      </w:pPr>
      <w:r>
        <w:t>湖北省2016年国民经济和社会发展</w:t>
      </w:r>
    </w:p>
    <w:p>
      <w:pPr>
        <w:pStyle w:val="2"/>
        <w:keepNext w:val="0"/>
        <w:keepLines w:val="0"/>
        <w:widowControl/>
        <w:suppressLineNumbers w:val="0"/>
        <w:jc w:val="center"/>
      </w:pPr>
      <w:r>
        <w:t>统计公报</w:t>
      </w:r>
    </w:p>
    <w:p/>
    <w:p>
      <w:pPr>
        <w:pStyle w:val="3"/>
        <w:keepNext w:val="0"/>
        <w:keepLines w:val="0"/>
        <w:widowControl/>
        <w:suppressLineNumbers w:val="0"/>
        <w:spacing w:before="0" w:beforeAutospacing="0" w:after="210" w:afterAutospacing="0" w:line="525" w:lineRule="atLeast"/>
        <w:ind w:left="826" w:right="826"/>
        <w:jc w:val="center"/>
      </w:pPr>
      <w:r>
        <w:rPr>
          <w:sz w:val="24"/>
          <w:szCs w:val="24"/>
          <w:shd w:val="clear" w:fill="FFFFFF"/>
        </w:rPr>
        <w:t>　　</w:t>
      </w:r>
      <w:r>
        <w:rPr>
          <w:rStyle w:val="5"/>
          <w:sz w:val="24"/>
          <w:szCs w:val="24"/>
          <w:shd w:val="clear" w:fill="FFFFFF"/>
        </w:rPr>
        <w:t>湖  北  省  统  计  局</w:t>
      </w:r>
    </w:p>
    <w:p>
      <w:pPr>
        <w:pStyle w:val="3"/>
        <w:keepNext w:val="0"/>
        <w:keepLines w:val="0"/>
        <w:widowControl/>
        <w:suppressLineNumbers w:val="0"/>
        <w:spacing w:before="0" w:beforeAutospacing="0" w:after="210" w:afterAutospacing="0" w:line="525" w:lineRule="atLeast"/>
        <w:ind w:left="826" w:right="826"/>
        <w:jc w:val="center"/>
      </w:pPr>
      <w:r>
        <w:rPr>
          <w:rStyle w:val="5"/>
          <w:sz w:val="24"/>
          <w:szCs w:val="24"/>
          <w:shd w:val="clear" w:fill="FFFFFF"/>
        </w:rPr>
        <w:t>　　国家统计局湖北调查总队</w:t>
      </w:r>
    </w:p>
    <w:p>
      <w:pPr>
        <w:pStyle w:val="3"/>
        <w:keepNext w:val="0"/>
        <w:keepLines w:val="0"/>
        <w:widowControl/>
        <w:suppressLineNumbers w:val="0"/>
        <w:spacing w:before="0" w:beforeAutospacing="0" w:after="210" w:afterAutospacing="0" w:line="525" w:lineRule="atLeast"/>
        <w:ind w:left="826" w:right="826"/>
      </w:pPr>
      <w:r>
        <w:rPr>
          <w:sz w:val="24"/>
          <w:szCs w:val="24"/>
          <w:shd w:val="clear" w:fill="FFFFFF"/>
        </w:rPr>
        <w:t>　　过去的一年，是湖北站在新起点上克难奋进的一年。面对经济下行压力和特大洪涝灾害双重考验，在党中央、国务院和省委省政府坚强领导下，全省上下认真贯彻习近平总书记系列重要讲话精神和治国理政新理念新思想新战略，坚持稳中求进工作总基调，化压力为动力，视大灾如大考，苦干实干，砥砺前行，实现了“十三五”良好开局。</w:t>
      </w:r>
    </w:p>
    <w:p>
      <w:pPr>
        <w:pStyle w:val="3"/>
        <w:keepNext w:val="0"/>
        <w:keepLines w:val="0"/>
        <w:widowControl/>
        <w:suppressLineNumbers w:val="0"/>
        <w:spacing w:before="0" w:beforeAutospacing="0" w:after="210" w:afterAutospacing="0" w:line="525" w:lineRule="atLeast"/>
        <w:ind w:left="826" w:right="826"/>
      </w:pPr>
      <w:r>
        <w:rPr>
          <w:sz w:val="24"/>
          <w:szCs w:val="24"/>
          <w:shd w:val="clear" w:fill="FFFFFF"/>
        </w:rPr>
        <w:t>　　</w:t>
      </w:r>
      <w:r>
        <w:rPr>
          <w:rStyle w:val="5"/>
          <w:sz w:val="24"/>
          <w:szCs w:val="24"/>
          <w:shd w:val="clear" w:fill="FFFFFF"/>
        </w:rPr>
        <w:t>一、综　合</w:t>
      </w:r>
    </w:p>
    <w:p>
      <w:pPr>
        <w:pStyle w:val="3"/>
        <w:keepNext w:val="0"/>
        <w:keepLines w:val="0"/>
        <w:widowControl/>
        <w:suppressLineNumbers w:val="0"/>
        <w:spacing w:before="0" w:beforeAutospacing="0" w:after="210" w:afterAutospacing="0" w:line="525" w:lineRule="atLeast"/>
        <w:ind w:left="826" w:right="826"/>
      </w:pPr>
      <w:r>
        <w:rPr>
          <w:sz w:val="24"/>
          <w:szCs w:val="24"/>
          <w:shd w:val="clear" w:fill="FFFFFF"/>
        </w:rPr>
        <w:t>　　2016年，全省完成生产总值32297.91亿元，增长8.1 %。其中：第一产业完成增加值3499.3亿元，增长3.9%；第二产业完成增加值14375.13亿元，增长7.8%；第三产业完成增加值14423.48亿元，增长9.5%。三次产业结构由2015年的11.2:45.7:43.1调整为10.8:44.5:44.7。在第三产业中，交通运输仓储和邮政业、批发和零售业、住宿和餐饮业、金融业、房地产业、营利性服务业及非营利性服务业增加值分别增长3.5%、5.7%、6.9%、12.4%、7.7%、18.4%和6.8%。</w:t>
      </w:r>
    </w:p>
    <w:p>
      <w:pPr>
        <w:pStyle w:val="3"/>
        <w:keepNext w:val="0"/>
        <w:keepLines w:val="0"/>
        <w:widowControl/>
        <w:suppressLineNumbers w:val="0"/>
        <w:spacing w:before="0" w:beforeAutospacing="0" w:after="210" w:afterAutospacing="0" w:line="525" w:lineRule="atLeast"/>
        <w:ind w:left="826" w:right="826"/>
        <w:jc w:val="center"/>
      </w:pPr>
      <w:r>
        <w:rPr>
          <w:sz w:val="24"/>
          <w:szCs w:val="24"/>
          <w:shd w:val="clear" w:fill="FFFFFF"/>
        </w:rPr>
        <w:t>　　</w:t>
      </w:r>
      <w:r>
        <w:rPr>
          <w:sz w:val="24"/>
          <w:szCs w:val="24"/>
          <w:bdr w:val="none" w:color="auto" w:sz="0" w:space="0"/>
          <w:shd w:val="clear" w:fill="FFFFFF"/>
        </w:rPr>
        <w:fldChar w:fldCharType="begin"/>
      </w:r>
      <w:r>
        <w:rPr>
          <w:sz w:val="24"/>
          <w:szCs w:val="24"/>
          <w:bdr w:val="none" w:color="auto" w:sz="0" w:space="0"/>
          <w:shd w:val="clear" w:fill="FFFFFF"/>
        </w:rPr>
        <w:instrText xml:space="preserve">INCLUDEPICTURE \d "http://www.stats-hb.gov.cn/CMSwww/201703/201703060920024.png" \* MERGEFORMATINET </w:instrText>
      </w:r>
      <w:r>
        <w:rPr>
          <w:sz w:val="24"/>
          <w:szCs w:val="24"/>
          <w:bdr w:val="none" w:color="auto" w:sz="0" w:space="0"/>
          <w:shd w:val="clear" w:fill="FFFFFF"/>
        </w:rPr>
        <w:fldChar w:fldCharType="separate"/>
      </w:r>
      <w:r>
        <w:rPr>
          <w:sz w:val="24"/>
          <w:szCs w:val="24"/>
          <w:bdr w:val="none" w:color="auto" w:sz="0" w:space="0"/>
          <w:shd w:val="clear" w:fill="FFFFFF"/>
        </w:rPr>
        <w:drawing>
          <wp:inline distT="0" distB="0" distL="114300" distR="114300">
            <wp:extent cx="4838700" cy="3371850"/>
            <wp:effectExtent l="0" t="0" r="0" b="0"/>
            <wp:docPr id="1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 descr="IMG_256"/>
                    <pic:cNvPicPr>
                      <a:picLocks noChangeAspect="1"/>
                    </pic:cNvPicPr>
                  </pic:nvPicPr>
                  <pic:blipFill>
                    <a:blip r:embed="rId4"/>
                    <a:stretch>
                      <a:fillRect/>
                    </a:stretch>
                  </pic:blipFill>
                  <pic:spPr>
                    <a:xfrm>
                      <a:off x="0" y="0"/>
                      <a:ext cx="4838700" cy="3371850"/>
                    </a:xfrm>
                    <a:prstGeom prst="rect">
                      <a:avLst/>
                    </a:prstGeom>
                    <a:noFill/>
                    <a:ln w="9525">
                      <a:noFill/>
                    </a:ln>
                  </pic:spPr>
                </pic:pic>
              </a:graphicData>
            </a:graphic>
          </wp:inline>
        </w:drawing>
      </w:r>
      <w:r>
        <w:rPr>
          <w:sz w:val="24"/>
          <w:szCs w:val="24"/>
          <w:bdr w:val="none" w:color="auto" w:sz="0" w:space="0"/>
          <w:shd w:val="clear" w:fill="FFFFFF"/>
        </w:rPr>
        <w:fldChar w:fldCharType="end"/>
      </w:r>
      <w:r>
        <w:rPr>
          <w:sz w:val="24"/>
          <w:szCs w:val="24"/>
          <w:shd w:val="clear" w:fill="FFFFFF"/>
        </w:rPr>
        <w:t> </w:t>
      </w:r>
    </w:p>
    <w:p>
      <w:pPr>
        <w:pStyle w:val="3"/>
        <w:keepNext w:val="0"/>
        <w:keepLines w:val="0"/>
        <w:widowControl/>
        <w:suppressLineNumbers w:val="0"/>
        <w:spacing w:before="0" w:beforeAutospacing="0" w:after="210" w:afterAutospacing="0" w:line="525" w:lineRule="atLeast"/>
        <w:ind w:left="826" w:right="826"/>
        <w:jc w:val="center"/>
      </w:pPr>
      <w:r>
        <w:rPr>
          <w:sz w:val="24"/>
          <w:szCs w:val="24"/>
          <w:shd w:val="clear" w:fill="FFFFFF"/>
        </w:rPr>
        <w:t>　　</w:t>
      </w:r>
      <w:r>
        <w:rPr>
          <w:sz w:val="24"/>
          <w:szCs w:val="24"/>
          <w:bdr w:val="none" w:color="auto" w:sz="0" w:space="0"/>
          <w:shd w:val="clear" w:fill="FFFFFF"/>
        </w:rPr>
        <w:fldChar w:fldCharType="begin"/>
      </w:r>
      <w:r>
        <w:rPr>
          <w:sz w:val="24"/>
          <w:szCs w:val="24"/>
          <w:bdr w:val="none" w:color="auto" w:sz="0" w:space="0"/>
          <w:shd w:val="clear" w:fill="FFFFFF"/>
        </w:rPr>
        <w:instrText xml:space="preserve">INCLUDEPICTURE \d "http://www.stats-hb.gov.cn/CMSwww/201703/201703060920041.png" \* MERGEFORMATINET </w:instrText>
      </w:r>
      <w:r>
        <w:rPr>
          <w:sz w:val="24"/>
          <w:szCs w:val="24"/>
          <w:bdr w:val="none" w:color="auto" w:sz="0" w:space="0"/>
          <w:shd w:val="clear" w:fill="FFFFFF"/>
        </w:rPr>
        <w:fldChar w:fldCharType="separate"/>
      </w:r>
      <w:r>
        <w:rPr>
          <w:sz w:val="24"/>
          <w:szCs w:val="24"/>
          <w:bdr w:val="none" w:color="auto" w:sz="0" w:space="0"/>
          <w:shd w:val="clear" w:fill="FFFFFF"/>
        </w:rPr>
        <w:drawing>
          <wp:inline distT="0" distB="0" distL="114300" distR="114300">
            <wp:extent cx="4752975" cy="3295650"/>
            <wp:effectExtent l="0" t="0" r="9525" b="0"/>
            <wp:docPr id="11"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descr="IMG_257"/>
                    <pic:cNvPicPr>
                      <a:picLocks noChangeAspect="1"/>
                    </pic:cNvPicPr>
                  </pic:nvPicPr>
                  <pic:blipFill>
                    <a:blip r:embed="rId5"/>
                    <a:stretch>
                      <a:fillRect/>
                    </a:stretch>
                  </pic:blipFill>
                  <pic:spPr>
                    <a:xfrm>
                      <a:off x="0" y="0"/>
                      <a:ext cx="4752975" cy="3295650"/>
                    </a:xfrm>
                    <a:prstGeom prst="rect">
                      <a:avLst/>
                    </a:prstGeom>
                    <a:noFill/>
                    <a:ln w="9525">
                      <a:noFill/>
                    </a:ln>
                  </pic:spPr>
                </pic:pic>
              </a:graphicData>
            </a:graphic>
          </wp:inline>
        </w:drawing>
      </w:r>
      <w:r>
        <w:rPr>
          <w:sz w:val="24"/>
          <w:szCs w:val="24"/>
          <w:bdr w:val="none" w:color="auto" w:sz="0" w:space="0"/>
          <w:shd w:val="clear" w:fill="FFFFFF"/>
        </w:rPr>
        <w:fldChar w:fldCharType="end"/>
      </w:r>
      <w:r>
        <w:rPr>
          <w:sz w:val="24"/>
          <w:szCs w:val="24"/>
          <w:shd w:val="clear" w:fill="FFFFFF"/>
        </w:rPr>
        <w:t> </w:t>
      </w:r>
    </w:p>
    <w:p>
      <w:pPr>
        <w:pStyle w:val="3"/>
        <w:keepNext w:val="0"/>
        <w:keepLines w:val="0"/>
        <w:widowControl/>
        <w:suppressLineNumbers w:val="0"/>
        <w:spacing w:before="0" w:beforeAutospacing="0" w:after="210" w:afterAutospacing="0" w:line="525" w:lineRule="atLeast"/>
        <w:ind w:left="826" w:right="826"/>
      </w:pPr>
      <w:r>
        <w:rPr>
          <w:sz w:val="24"/>
          <w:szCs w:val="24"/>
          <w:shd w:val="clear" w:fill="FFFFFF"/>
        </w:rPr>
        <w:t>　　全省居民消费价格上涨2.2%。其中，农村上涨2.2%，城市上涨2.1%。分类别看，八大类商品价格呈“七涨一降”。其中食品烟酒上涨4.0%，居住、其他用品和服务价格均上涨2.8%，衣着价格上涨2.3%，教育文化和娱乐价格上涨2.2%，医疗保健价格上涨1.9%，生活用品及服务价格上涨0.4%；交通和通信价格下降2.8%。全省农业生产资料价格上涨0.3%。全省工业生产者出厂价格下降1.0%，工业生产者购进价格下降1.7%。</w:t>
      </w:r>
    </w:p>
    <w:p>
      <w:pPr>
        <w:pStyle w:val="3"/>
        <w:keepNext w:val="0"/>
        <w:keepLines w:val="0"/>
        <w:widowControl/>
        <w:suppressLineNumbers w:val="0"/>
        <w:spacing w:before="0" w:beforeAutospacing="0" w:after="210" w:afterAutospacing="0" w:line="525" w:lineRule="atLeast"/>
        <w:ind w:left="826" w:right="826"/>
      </w:pPr>
      <w:r>
        <w:rPr>
          <w:sz w:val="24"/>
          <w:szCs w:val="24"/>
          <w:shd w:val="clear" w:fill="FFFFFF"/>
        </w:rPr>
        <w:t>　　市场主体发展加快。全省新登记市场主体82.75万户，其中:新登记私营企业19.7万户，新登记个体工商户59.94万户。</w:t>
      </w:r>
    </w:p>
    <w:p>
      <w:pPr>
        <w:pStyle w:val="3"/>
        <w:keepNext w:val="0"/>
        <w:keepLines w:val="0"/>
        <w:widowControl/>
        <w:suppressLineNumbers w:val="0"/>
        <w:spacing w:before="0" w:beforeAutospacing="0" w:after="210" w:afterAutospacing="0" w:line="525" w:lineRule="atLeast"/>
        <w:ind w:left="826" w:right="826"/>
      </w:pPr>
      <w:r>
        <w:rPr>
          <w:sz w:val="24"/>
          <w:szCs w:val="24"/>
          <w:shd w:val="clear" w:fill="FFFFFF"/>
        </w:rPr>
        <w:t>　　就业保持稳定。年末全省城镇登记失业率为2.41%，比上年末下降0.23个百分点。</w:t>
      </w:r>
    </w:p>
    <w:p>
      <w:pPr>
        <w:pStyle w:val="3"/>
        <w:keepNext w:val="0"/>
        <w:keepLines w:val="0"/>
        <w:widowControl/>
        <w:suppressLineNumbers w:val="0"/>
        <w:spacing w:before="0" w:beforeAutospacing="0" w:after="210" w:afterAutospacing="0" w:line="525" w:lineRule="atLeast"/>
        <w:ind w:left="826" w:right="826"/>
      </w:pPr>
      <w:r>
        <w:rPr>
          <w:sz w:val="24"/>
          <w:szCs w:val="24"/>
          <w:shd w:val="clear" w:fill="FFFFFF"/>
        </w:rPr>
        <w:t>　　劳动生产率稳步提高。全省全员劳动生产率为8.86万元/人，比上年提高8.7%。</w:t>
      </w:r>
    </w:p>
    <w:p>
      <w:pPr>
        <w:pStyle w:val="3"/>
        <w:keepNext w:val="0"/>
        <w:keepLines w:val="0"/>
        <w:widowControl/>
        <w:suppressLineNumbers w:val="0"/>
        <w:spacing w:before="0" w:beforeAutospacing="0" w:after="210" w:afterAutospacing="0" w:line="525" w:lineRule="atLeast"/>
        <w:ind w:left="826" w:right="826"/>
      </w:pPr>
      <w:r>
        <w:rPr>
          <w:sz w:val="24"/>
          <w:szCs w:val="24"/>
          <w:shd w:val="clear" w:fill="FFFFFF"/>
        </w:rPr>
        <w:t>　　</w:t>
      </w:r>
      <w:r>
        <w:rPr>
          <w:rStyle w:val="5"/>
          <w:sz w:val="24"/>
          <w:szCs w:val="24"/>
          <w:shd w:val="clear" w:fill="FFFFFF"/>
        </w:rPr>
        <w:t>二、农　业</w:t>
      </w:r>
    </w:p>
    <w:p>
      <w:pPr>
        <w:pStyle w:val="3"/>
        <w:keepNext w:val="0"/>
        <w:keepLines w:val="0"/>
        <w:widowControl/>
        <w:suppressLineNumbers w:val="0"/>
        <w:spacing w:before="0" w:beforeAutospacing="0" w:after="210" w:afterAutospacing="0" w:line="525" w:lineRule="atLeast"/>
        <w:ind w:left="826" w:right="826"/>
      </w:pPr>
      <w:r>
        <w:rPr>
          <w:sz w:val="24"/>
          <w:szCs w:val="24"/>
          <w:shd w:val="clear" w:fill="FFFFFF"/>
        </w:rPr>
        <w:t>　　全年全省农林牧渔业增加值3780.79亿元，按可比价格计算，比上年增长4.0%。粮食种植面积4436.87千公顷，比上年减少29.17千公顷；棉花种植面积202.51千公顷，减少62.23千公顷；油料种植面积1452.91千公顷，减少71.28千公顷。粮食总产量2554.11万吨，比上年减少149.17万吨，下降5.5%；棉花总产量18.85万吨，减少10.91万吨，下降36.7%；油料产量329.75万吨，减少9.85万吨，下降2.9%。</w:t>
      </w:r>
    </w:p>
    <w:p>
      <w:pPr>
        <w:pStyle w:val="3"/>
        <w:keepNext w:val="0"/>
        <w:keepLines w:val="0"/>
        <w:widowControl/>
        <w:suppressLineNumbers w:val="0"/>
        <w:spacing w:before="0" w:beforeAutospacing="0" w:after="210" w:afterAutospacing="0" w:line="525" w:lineRule="atLeast"/>
        <w:ind w:left="826" w:right="826"/>
      </w:pPr>
      <w:r>
        <w:rPr>
          <w:sz w:val="24"/>
          <w:szCs w:val="24"/>
          <w:shd w:val="clear" w:fill="FFFFFF"/>
        </w:rPr>
        <w:t>　　畜牧、水产业保持稳定。全年全省生猪出栏4223.61万头，下降3.2%；水产品产量470.84万吨，增长3.3%。</w:t>
      </w:r>
    </w:p>
    <w:p>
      <w:pPr>
        <w:pStyle w:val="3"/>
        <w:keepNext w:val="0"/>
        <w:keepLines w:val="0"/>
        <w:widowControl/>
        <w:suppressLineNumbers w:val="0"/>
        <w:spacing w:before="0" w:beforeAutospacing="0" w:after="210" w:afterAutospacing="0" w:line="525" w:lineRule="atLeast"/>
        <w:ind w:left="826" w:right="826"/>
        <w:jc w:val="center"/>
      </w:pPr>
      <w:r>
        <w:rPr>
          <w:sz w:val="24"/>
          <w:szCs w:val="24"/>
          <w:shd w:val="clear" w:fill="FFFFFF"/>
        </w:rPr>
        <w:t>　　表1　2016年全省主要农产品产量</w:t>
      </w:r>
    </w:p>
    <w:tbl>
      <w:tblPr>
        <w:tblW w:w="8454" w:type="dxa"/>
        <w:jc w:val="center"/>
        <w:tblInd w:w="1" w:type="dxa"/>
        <w:tblBorders>
          <w:top w:val="outset" w:color="333333" w:sz="6" w:space="0"/>
          <w:left w:val="outset" w:color="333333" w:sz="6" w:space="0"/>
          <w:bottom w:val="outset" w:color="333333" w:sz="6" w:space="0"/>
          <w:right w:val="outset" w:color="333333" w:sz="6" w:space="0"/>
          <w:insideH w:val="outset" w:color="333333" w:sz="6" w:space="0"/>
          <w:insideV w:val="outset" w:color="333333" w:sz="6" w:space="0"/>
        </w:tblBorders>
        <w:shd w:val="clear"/>
        <w:tblLayout w:type="fixed"/>
        <w:tblCellMar>
          <w:top w:w="15" w:type="dxa"/>
          <w:left w:w="15" w:type="dxa"/>
          <w:bottom w:w="15" w:type="dxa"/>
          <w:right w:w="15" w:type="dxa"/>
        </w:tblCellMar>
      </w:tblPr>
      <w:tblGrid>
        <w:gridCol w:w="3935"/>
        <w:gridCol w:w="2549"/>
        <w:gridCol w:w="1970"/>
      </w:tblGrid>
      <w:tr>
        <w:tblPrEx>
          <w:tblBorders>
            <w:top w:val="outset" w:color="333333" w:sz="6" w:space="0"/>
            <w:left w:val="outset" w:color="333333" w:sz="6" w:space="0"/>
            <w:bottom w:val="outset" w:color="333333" w:sz="6" w:space="0"/>
            <w:right w:val="outset" w:color="333333" w:sz="6" w:space="0"/>
            <w:insideH w:val="outset" w:color="333333" w:sz="6" w:space="0"/>
            <w:insideV w:val="outset" w:color="333333" w:sz="6" w:space="0"/>
          </w:tblBorders>
          <w:shd w:val="clear"/>
          <w:tblLayout w:type="fixed"/>
          <w:tblCellMar>
            <w:top w:w="15" w:type="dxa"/>
            <w:left w:w="15" w:type="dxa"/>
            <w:bottom w:w="15" w:type="dxa"/>
            <w:right w:w="15" w:type="dxa"/>
          </w:tblCellMar>
        </w:tblPrEx>
        <w:trPr>
          <w:jc w:val="center"/>
        </w:trPr>
        <w:tc>
          <w:tcPr>
            <w:tcW w:w="8454" w:type="dxa"/>
            <w:gridSpan w:val="3"/>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right"/>
            </w:pPr>
            <w:r>
              <w:rPr>
                <w:rFonts w:ascii="微软雅黑" w:hAnsi="微软雅黑" w:eastAsia="微软雅黑" w:cs="微软雅黑"/>
                <w:color w:val="333333"/>
                <w:sz w:val="21"/>
                <w:szCs w:val="21"/>
              </w:rPr>
              <w:t>　　单位：万吨</w:t>
            </w:r>
          </w:p>
        </w:tc>
      </w:tr>
      <w:tr>
        <w:tblPrEx>
          <w:tblBorders>
            <w:top w:val="outset" w:color="333333" w:sz="6" w:space="0"/>
            <w:left w:val="outset" w:color="333333" w:sz="6" w:space="0"/>
            <w:bottom w:val="outset" w:color="333333" w:sz="6" w:space="0"/>
            <w:right w:val="outset" w:color="333333" w:sz="6" w:space="0"/>
            <w:insideH w:val="outset" w:color="333333" w:sz="6" w:space="0"/>
            <w:insideV w:val="outset" w:color="333333" w:sz="6" w:space="0"/>
          </w:tblBorders>
          <w:tblLayout w:type="fixed"/>
          <w:tblCellMar>
            <w:top w:w="15" w:type="dxa"/>
            <w:left w:w="15" w:type="dxa"/>
            <w:bottom w:w="15" w:type="dxa"/>
            <w:right w:w="15" w:type="dxa"/>
          </w:tblCellMar>
        </w:tblPrEx>
        <w:trPr>
          <w:jc w:val="center"/>
        </w:trPr>
        <w:tc>
          <w:tcPr>
            <w:tcW w:w="3935"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center"/>
            </w:pPr>
            <w:r>
              <w:rPr>
                <w:rFonts w:hint="eastAsia" w:ascii="微软雅黑" w:hAnsi="微软雅黑" w:eastAsia="微软雅黑" w:cs="微软雅黑"/>
                <w:color w:val="333333"/>
                <w:sz w:val="21"/>
                <w:szCs w:val="21"/>
              </w:rPr>
              <w:t>　　产品名称</w:t>
            </w:r>
          </w:p>
        </w:tc>
        <w:tc>
          <w:tcPr>
            <w:tcW w:w="2549"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center"/>
            </w:pPr>
            <w:r>
              <w:rPr>
                <w:rFonts w:hint="eastAsia" w:ascii="微软雅黑" w:hAnsi="微软雅黑" w:eastAsia="微软雅黑" w:cs="微软雅黑"/>
                <w:color w:val="333333"/>
                <w:sz w:val="21"/>
                <w:szCs w:val="21"/>
              </w:rPr>
              <w:t>　　产　量</w:t>
            </w:r>
          </w:p>
        </w:tc>
        <w:tc>
          <w:tcPr>
            <w:tcW w:w="1970"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center"/>
            </w:pPr>
            <w:r>
              <w:rPr>
                <w:rFonts w:hint="eastAsia" w:ascii="微软雅黑" w:hAnsi="微软雅黑" w:eastAsia="微软雅黑" w:cs="微软雅黑"/>
                <w:color w:val="333333"/>
                <w:sz w:val="21"/>
                <w:szCs w:val="21"/>
              </w:rPr>
              <w:t>　　比上年增长（%）</w:t>
            </w:r>
          </w:p>
        </w:tc>
      </w:tr>
      <w:tr>
        <w:tblPrEx>
          <w:tblBorders>
            <w:top w:val="outset" w:color="333333" w:sz="6" w:space="0"/>
            <w:left w:val="outset" w:color="333333" w:sz="6" w:space="0"/>
            <w:bottom w:val="outset" w:color="333333" w:sz="6" w:space="0"/>
            <w:right w:val="outset" w:color="333333" w:sz="6" w:space="0"/>
            <w:insideH w:val="outset" w:color="333333" w:sz="6" w:space="0"/>
            <w:insideV w:val="outset" w:color="333333" w:sz="6" w:space="0"/>
          </w:tblBorders>
          <w:tblLayout w:type="fixed"/>
          <w:tblCellMar>
            <w:top w:w="15" w:type="dxa"/>
            <w:left w:w="15" w:type="dxa"/>
            <w:bottom w:w="15" w:type="dxa"/>
            <w:right w:w="15" w:type="dxa"/>
          </w:tblCellMar>
        </w:tblPrEx>
        <w:trPr>
          <w:jc w:val="center"/>
        </w:trPr>
        <w:tc>
          <w:tcPr>
            <w:tcW w:w="3935"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pPr>
            <w:r>
              <w:rPr>
                <w:rFonts w:hint="eastAsia" w:ascii="微软雅黑" w:hAnsi="微软雅黑" w:eastAsia="微软雅黑" w:cs="微软雅黑"/>
                <w:color w:val="333333"/>
                <w:sz w:val="21"/>
                <w:szCs w:val="21"/>
              </w:rPr>
              <w:t>　　粮　食</w:t>
            </w:r>
          </w:p>
        </w:tc>
        <w:tc>
          <w:tcPr>
            <w:tcW w:w="2549"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right"/>
            </w:pPr>
            <w:r>
              <w:rPr>
                <w:rFonts w:hint="eastAsia" w:ascii="微软雅黑" w:hAnsi="微软雅黑" w:eastAsia="微软雅黑" w:cs="微软雅黑"/>
                <w:color w:val="333333"/>
                <w:sz w:val="21"/>
                <w:szCs w:val="21"/>
              </w:rPr>
              <w:t>　　2554.11</w:t>
            </w:r>
          </w:p>
        </w:tc>
        <w:tc>
          <w:tcPr>
            <w:tcW w:w="1970"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right"/>
            </w:pPr>
            <w:r>
              <w:rPr>
                <w:rFonts w:hint="eastAsia" w:ascii="微软雅黑" w:hAnsi="微软雅黑" w:eastAsia="微软雅黑" w:cs="微软雅黑"/>
                <w:color w:val="333333"/>
                <w:sz w:val="21"/>
                <w:szCs w:val="21"/>
              </w:rPr>
              <w:t>　　-5.5</w:t>
            </w:r>
          </w:p>
        </w:tc>
      </w:tr>
      <w:tr>
        <w:tblPrEx>
          <w:tblBorders>
            <w:top w:val="outset" w:color="333333" w:sz="6" w:space="0"/>
            <w:left w:val="outset" w:color="333333" w:sz="6" w:space="0"/>
            <w:bottom w:val="outset" w:color="333333" w:sz="6" w:space="0"/>
            <w:right w:val="outset" w:color="333333" w:sz="6" w:space="0"/>
            <w:insideH w:val="outset" w:color="333333" w:sz="6" w:space="0"/>
            <w:insideV w:val="outset" w:color="333333" w:sz="6" w:space="0"/>
          </w:tblBorders>
          <w:tblLayout w:type="fixed"/>
          <w:tblCellMar>
            <w:top w:w="15" w:type="dxa"/>
            <w:left w:w="15" w:type="dxa"/>
            <w:bottom w:w="15" w:type="dxa"/>
            <w:right w:w="15" w:type="dxa"/>
          </w:tblCellMar>
        </w:tblPrEx>
        <w:trPr>
          <w:jc w:val="center"/>
        </w:trPr>
        <w:tc>
          <w:tcPr>
            <w:tcW w:w="3935"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pPr>
            <w:r>
              <w:rPr>
                <w:rFonts w:hint="eastAsia" w:ascii="微软雅黑" w:hAnsi="微软雅黑" w:eastAsia="微软雅黑" w:cs="微软雅黑"/>
                <w:color w:val="333333"/>
                <w:sz w:val="21"/>
                <w:szCs w:val="21"/>
              </w:rPr>
              <w:t>　　棉　花</w:t>
            </w:r>
          </w:p>
        </w:tc>
        <w:tc>
          <w:tcPr>
            <w:tcW w:w="2549"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right"/>
            </w:pPr>
            <w:r>
              <w:rPr>
                <w:rFonts w:hint="eastAsia" w:ascii="微软雅黑" w:hAnsi="微软雅黑" w:eastAsia="微软雅黑" w:cs="微软雅黑"/>
                <w:color w:val="333333"/>
                <w:sz w:val="21"/>
                <w:szCs w:val="21"/>
              </w:rPr>
              <w:t>　　18.85</w:t>
            </w:r>
          </w:p>
        </w:tc>
        <w:tc>
          <w:tcPr>
            <w:tcW w:w="1970"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right"/>
            </w:pPr>
            <w:r>
              <w:rPr>
                <w:rFonts w:hint="eastAsia" w:ascii="微软雅黑" w:hAnsi="微软雅黑" w:eastAsia="微软雅黑" w:cs="微软雅黑"/>
                <w:color w:val="333333"/>
                <w:sz w:val="21"/>
                <w:szCs w:val="21"/>
              </w:rPr>
              <w:t>　　-36.7</w:t>
            </w:r>
          </w:p>
        </w:tc>
      </w:tr>
      <w:tr>
        <w:tblPrEx>
          <w:tblBorders>
            <w:top w:val="outset" w:color="333333" w:sz="6" w:space="0"/>
            <w:left w:val="outset" w:color="333333" w:sz="6" w:space="0"/>
            <w:bottom w:val="outset" w:color="333333" w:sz="6" w:space="0"/>
            <w:right w:val="outset" w:color="333333" w:sz="6" w:space="0"/>
            <w:insideH w:val="outset" w:color="333333" w:sz="6" w:space="0"/>
            <w:insideV w:val="outset" w:color="333333" w:sz="6" w:space="0"/>
          </w:tblBorders>
          <w:tblLayout w:type="fixed"/>
          <w:tblCellMar>
            <w:top w:w="15" w:type="dxa"/>
            <w:left w:w="15" w:type="dxa"/>
            <w:bottom w:w="15" w:type="dxa"/>
            <w:right w:w="15" w:type="dxa"/>
          </w:tblCellMar>
        </w:tblPrEx>
        <w:trPr>
          <w:jc w:val="center"/>
        </w:trPr>
        <w:tc>
          <w:tcPr>
            <w:tcW w:w="3935"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pPr>
            <w:r>
              <w:rPr>
                <w:rFonts w:hint="eastAsia" w:ascii="微软雅黑" w:hAnsi="微软雅黑" w:eastAsia="微软雅黑" w:cs="微软雅黑"/>
                <w:color w:val="333333"/>
                <w:sz w:val="21"/>
                <w:szCs w:val="21"/>
              </w:rPr>
              <w:t>　　油　料</w:t>
            </w:r>
          </w:p>
        </w:tc>
        <w:tc>
          <w:tcPr>
            <w:tcW w:w="2549"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right"/>
            </w:pPr>
            <w:r>
              <w:rPr>
                <w:rFonts w:hint="eastAsia" w:ascii="微软雅黑" w:hAnsi="微软雅黑" w:eastAsia="微软雅黑" w:cs="微软雅黑"/>
                <w:color w:val="333333"/>
                <w:sz w:val="21"/>
                <w:szCs w:val="21"/>
              </w:rPr>
              <w:t>　　329.75</w:t>
            </w:r>
          </w:p>
        </w:tc>
        <w:tc>
          <w:tcPr>
            <w:tcW w:w="1970"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right"/>
            </w:pPr>
            <w:r>
              <w:rPr>
                <w:rFonts w:hint="eastAsia" w:ascii="微软雅黑" w:hAnsi="微软雅黑" w:eastAsia="微软雅黑" w:cs="微软雅黑"/>
                <w:color w:val="333333"/>
                <w:sz w:val="21"/>
                <w:szCs w:val="21"/>
              </w:rPr>
              <w:t>　　-2.9</w:t>
            </w:r>
          </w:p>
        </w:tc>
      </w:tr>
      <w:tr>
        <w:tblPrEx>
          <w:tblBorders>
            <w:top w:val="outset" w:color="333333" w:sz="6" w:space="0"/>
            <w:left w:val="outset" w:color="333333" w:sz="6" w:space="0"/>
            <w:bottom w:val="outset" w:color="333333" w:sz="6" w:space="0"/>
            <w:right w:val="outset" w:color="333333" w:sz="6" w:space="0"/>
            <w:insideH w:val="outset" w:color="333333" w:sz="6" w:space="0"/>
            <w:insideV w:val="outset" w:color="333333" w:sz="6" w:space="0"/>
          </w:tblBorders>
          <w:tblLayout w:type="fixed"/>
          <w:tblCellMar>
            <w:top w:w="15" w:type="dxa"/>
            <w:left w:w="15" w:type="dxa"/>
            <w:bottom w:w="15" w:type="dxa"/>
            <w:right w:w="15" w:type="dxa"/>
          </w:tblCellMar>
        </w:tblPrEx>
        <w:trPr>
          <w:jc w:val="center"/>
        </w:trPr>
        <w:tc>
          <w:tcPr>
            <w:tcW w:w="3935"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pPr>
            <w:r>
              <w:rPr>
                <w:rFonts w:hint="eastAsia" w:ascii="微软雅黑" w:hAnsi="微软雅黑" w:eastAsia="微软雅黑" w:cs="微软雅黑"/>
                <w:color w:val="333333"/>
                <w:sz w:val="21"/>
                <w:szCs w:val="21"/>
              </w:rPr>
              <w:t>　　#花　生</w:t>
            </w:r>
          </w:p>
        </w:tc>
        <w:tc>
          <w:tcPr>
            <w:tcW w:w="2549"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right"/>
            </w:pPr>
            <w:r>
              <w:rPr>
                <w:rFonts w:hint="eastAsia" w:ascii="微软雅黑" w:hAnsi="微软雅黑" w:eastAsia="微软雅黑" w:cs="微软雅黑"/>
                <w:color w:val="333333"/>
                <w:sz w:val="21"/>
                <w:szCs w:val="21"/>
              </w:rPr>
              <w:t>　　71.73</w:t>
            </w:r>
          </w:p>
        </w:tc>
        <w:tc>
          <w:tcPr>
            <w:tcW w:w="1970"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right"/>
            </w:pPr>
            <w:r>
              <w:rPr>
                <w:rFonts w:hint="eastAsia" w:ascii="微软雅黑" w:hAnsi="微软雅黑" w:eastAsia="微软雅黑" w:cs="微软雅黑"/>
                <w:color w:val="333333"/>
                <w:sz w:val="21"/>
                <w:szCs w:val="21"/>
              </w:rPr>
              <w:t>　　5.6</w:t>
            </w:r>
          </w:p>
        </w:tc>
      </w:tr>
      <w:tr>
        <w:tblPrEx>
          <w:tblBorders>
            <w:top w:val="outset" w:color="333333" w:sz="6" w:space="0"/>
            <w:left w:val="outset" w:color="333333" w:sz="6" w:space="0"/>
            <w:bottom w:val="outset" w:color="333333" w:sz="6" w:space="0"/>
            <w:right w:val="outset" w:color="333333" w:sz="6" w:space="0"/>
            <w:insideH w:val="outset" w:color="333333" w:sz="6" w:space="0"/>
            <w:insideV w:val="outset" w:color="333333" w:sz="6" w:space="0"/>
          </w:tblBorders>
          <w:tblLayout w:type="fixed"/>
          <w:tblCellMar>
            <w:top w:w="15" w:type="dxa"/>
            <w:left w:w="15" w:type="dxa"/>
            <w:bottom w:w="15" w:type="dxa"/>
            <w:right w:w="15" w:type="dxa"/>
          </w:tblCellMar>
        </w:tblPrEx>
        <w:trPr>
          <w:jc w:val="center"/>
        </w:trPr>
        <w:tc>
          <w:tcPr>
            <w:tcW w:w="3935"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pPr>
            <w:r>
              <w:rPr>
                <w:rFonts w:hint="eastAsia" w:ascii="微软雅黑" w:hAnsi="微软雅黑" w:eastAsia="微软雅黑" w:cs="微软雅黑"/>
                <w:color w:val="333333"/>
                <w:sz w:val="21"/>
                <w:szCs w:val="21"/>
              </w:rPr>
              <w:t>　　油菜籽</w:t>
            </w:r>
          </w:p>
        </w:tc>
        <w:tc>
          <w:tcPr>
            <w:tcW w:w="2549"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right"/>
            </w:pPr>
            <w:r>
              <w:rPr>
                <w:rFonts w:hint="eastAsia" w:ascii="微软雅黑" w:hAnsi="微软雅黑" w:eastAsia="微软雅黑" w:cs="微软雅黑"/>
                <w:color w:val="333333"/>
                <w:sz w:val="21"/>
                <w:szCs w:val="21"/>
              </w:rPr>
              <w:t>　　241.63</w:t>
            </w:r>
          </w:p>
        </w:tc>
        <w:tc>
          <w:tcPr>
            <w:tcW w:w="1970"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right"/>
            </w:pPr>
            <w:r>
              <w:rPr>
                <w:rFonts w:hint="eastAsia" w:ascii="微软雅黑" w:hAnsi="微软雅黑" w:eastAsia="微软雅黑" w:cs="微软雅黑"/>
                <w:color w:val="333333"/>
                <w:sz w:val="21"/>
                <w:szCs w:val="21"/>
              </w:rPr>
              <w:t>　　-5.3</w:t>
            </w:r>
          </w:p>
        </w:tc>
      </w:tr>
      <w:tr>
        <w:tblPrEx>
          <w:tblBorders>
            <w:top w:val="outset" w:color="333333" w:sz="6" w:space="0"/>
            <w:left w:val="outset" w:color="333333" w:sz="6" w:space="0"/>
            <w:bottom w:val="outset" w:color="333333" w:sz="6" w:space="0"/>
            <w:right w:val="outset" w:color="333333" w:sz="6" w:space="0"/>
            <w:insideH w:val="outset" w:color="333333" w:sz="6" w:space="0"/>
            <w:insideV w:val="outset" w:color="333333" w:sz="6" w:space="0"/>
          </w:tblBorders>
          <w:tblLayout w:type="fixed"/>
          <w:tblCellMar>
            <w:top w:w="15" w:type="dxa"/>
            <w:left w:w="15" w:type="dxa"/>
            <w:bottom w:w="15" w:type="dxa"/>
            <w:right w:w="15" w:type="dxa"/>
          </w:tblCellMar>
        </w:tblPrEx>
        <w:trPr>
          <w:jc w:val="center"/>
        </w:trPr>
        <w:tc>
          <w:tcPr>
            <w:tcW w:w="3935"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pPr>
            <w:r>
              <w:rPr>
                <w:rFonts w:hint="eastAsia" w:ascii="微软雅黑" w:hAnsi="微软雅黑" w:eastAsia="微软雅黑" w:cs="微软雅黑"/>
                <w:color w:val="333333"/>
                <w:sz w:val="21"/>
                <w:szCs w:val="21"/>
              </w:rPr>
              <w:t>　　茶　叶</w:t>
            </w:r>
          </w:p>
        </w:tc>
        <w:tc>
          <w:tcPr>
            <w:tcW w:w="2549"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right"/>
            </w:pPr>
            <w:r>
              <w:rPr>
                <w:rFonts w:hint="eastAsia" w:ascii="微软雅黑" w:hAnsi="微软雅黑" w:eastAsia="微软雅黑" w:cs="微软雅黑"/>
                <w:color w:val="333333"/>
                <w:sz w:val="21"/>
                <w:szCs w:val="21"/>
              </w:rPr>
              <w:t>　　29.61</w:t>
            </w:r>
          </w:p>
        </w:tc>
        <w:tc>
          <w:tcPr>
            <w:tcW w:w="1970"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right"/>
            </w:pPr>
            <w:r>
              <w:rPr>
                <w:rFonts w:hint="eastAsia" w:ascii="微软雅黑" w:hAnsi="微软雅黑" w:eastAsia="微软雅黑" w:cs="微软雅黑"/>
                <w:color w:val="333333"/>
                <w:sz w:val="21"/>
                <w:szCs w:val="21"/>
              </w:rPr>
              <w:t>　　10.2</w:t>
            </w:r>
          </w:p>
        </w:tc>
      </w:tr>
      <w:tr>
        <w:tblPrEx>
          <w:tblBorders>
            <w:top w:val="outset" w:color="333333" w:sz="6" w:space="0"/>
            <w:left w:val="outset" w:color="333333" w:sz="6" w:space="0"/>
            <w:bottom w:val="outset" w:color="333333" w:sz="6" w:space="0"/>
            <w:right w:val="outset" w:color="333333" w:sz="6" w:space="0"/>
            <w:insideH w:val="outset" w:color="333333" w:sz="6" w:space="0"/>
            <w:insideV w:val="outset" w:color="333333" w:sz="6" w:space="0"/>
          </w:tblBorders>
          <w:tblLayout w:type="fixed"/>
          <w:tblCellMar>
            <w:top w:w="15" w:type="dxa"/>
            <w:left w:w="15" w:type="dxa"/>
            <w:bottom w:w="15" w:type="dxa"/>
            <w:right w:w="15" w:type="dxa"/>
          </w:tblCellMar>
        </w:tblPrEx>
        <w:trPr>
          <w:jc w:val="center"/>
        </w:trPr>
        <w:tc>
          <w:tcPr>
            <w:tcW w:w="3935"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pPr>
            <w:r>
              <w:rPr>
                <w:rFonts w:hint="eastAsia" w:ascii="微软雅黑" w:hAnsi="微软雅黑" w:eastAsia="微软雅黑" w:cs="微软雅黑"/>
                <w:color w:val="333333"/>
                <w:sz w:val="21"/>
                <w:szCs w:val="21"/>
              </w:rPr>
              <w:t>　　水　果(不含果用瓜)</w:t>
            </w:r>
          </w:p>
        </w:tc>
        <w:tc>
          <w:tcPr>
            <w:tcW w:w="2549"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right"/>
            </w:pPr>
            <w:r>
              <w:rPr>
                <w:rFonts w:hint="eastAsia" w:ascii="微软雅黑" w:hAnsi="微软雅黑" w:eastAsia="微软雅黑" w:cs="微软雅黑"/>
                <w:color w:val="333333"/>
                <w:sz w:val="21"/>
                <w:szCs w:val="21"/>
              </w:rPr>
              <w:t>　　649.72</w:t>
            </w:r>
          </w:p>
        </w:tc>
        <w:tc>
          <w:tcPr>
            <w:tcW w:w="1970"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right"/>
            </w:pPr>
            <w:r>
              <w:rPr>
                <w:rFonts w:hint="eastAsia" w:ascii="微软雅黑" w:hAnsi="微软雅黑" w:eastAsia="微软雅黑" w:cs="微软雅黑"/>
                <w:color w:val="333333"/>
                <w:sz w:val="21"/>
                <w:szCs w:val="21"/>
              </w:rPr>
              <w:t>　　5.5</w:t>
            </w:r>
          </w:p>
        </w:tc>
      </w:tr>
      <w:tr>
        <w:tblPrEx>
          <w:tblBorders>
            <w:top w:val="outset" w:color="333333" w:sz="6" w:space="0"/>
            <w:left w:val="outset" w:color="333333" w:sz="6" w:space="0"/>
            <w:bottom w:val="outset" w:color="333333" w:sz="6" w:space="0"/>
            <w:right w:val="outset" w:color="333333" w:sz="6" w:space="0"/>
            <w:insideH w:val="outset" w:color="333333" w:sz="6" w:space="0"/>
            <w:insideV w:val="outset" w:color="333333" w:sz="6" w:space="0"/>
          </w:tblBorders>
          <w:tblLayout w:type="fixed"/>
          <w:tblCellMar>
            <w:top w:w="15" w:type="dxa"/>
            <w:left w:w="15" w:type="dxa"/>
            <w:bottom w:w="15" w:type="dxa"/>
            <w:right w:w="15" w:type="dxa"/>
          </w:tblCellMar>
        </w:tblPrEx>
        <w:trPr>
          <w:jc w:val="center"/>
        </w:trPr>
        <w:tc>
          <w:tcPr>
            <w:tcW w:w="3935"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pPr>
            <w:r>
              <w:rPr>
                <w:rFonts w:hint="eastAsia" w:ascii="微软雅黑" w:hAnsi="微软雅黑" w:eastAsia="微软雅黑" w:cs="微软雅黑"/>
                <w:color w:val="333333"/>
                <w:sz w:val="21"/>
                <w:szCs w:val="21"/>
              </w:rPr>
              <w:t>　　蔬　菜</w:t>
            </w:r>
          </w:p>
        </w:tc>
        <w:tc>
          <w:tcPr>
            <w:tcW w:w="2549"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right"/>
            </w:pPr>
            <w:r>
              <w:rPr>
                <w:rFonts w:hint="eastAsia" w:ascii="微软雅黑" w:hAnsi="微软雅黑" w:eastAsia="微软雅黑" w:cs="微软雅黑"/>
                <w:color w:val="333333"/>
                <w:sz w:val="21"/>
                <w:szCs w:val="21"/>
              </w:rPr>
              <w:t>　　4001.70</w:t>
            </w:r>
          </w:p>
        </w:tc>
        <w:tc>
          <w:tcPr>
            <w:tcW w:w="1970"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right"/>
            </w:pPr>
            <w:r>
              <w:rPr>
                <w:rFonts w:hint="eastAsia" w:ascii="微软雅黑" w:hAnsi="微软雅黑" w:eastAsia="微软雅黑" w:cs="微软雅黑"/>
                <w:color w:val="333333"/>
                <w:sz w:val="21"/>
                <w:szCs w:val="21"/>
              </w:rPr>
              <w:t>　　3.9</w:t>
            </w:r>
          </w:p>
        </w:tc>
      </w:tr>
    </w:tbl>
    <w:p>
      <w:pPr>
        <w:pStyle w:val="3"/>
        <w:keepNext w:val="0"/>
        <w:keepLines w:val="0"/>
        <w:widowControl/>
        <w:suppressLineNumbers w:val="0"/>
        <w:spacing w:before="0" w:beforeAutospacing="0" w:after="210" w:afterAutospacing="0" w:line="525" w:lineRule="atLeast"/>
        <w:ind w:left="826" w:right="826"/>
      </w:pPr>
      <w:r>
        <w:rPr>
          <w:sz w:val="24"/>
          <w:szCs w:val="24"/>
          <w:shd w:val="clear" w:fill="FFFFFF"/>
        </w:rPr>
        <w:t>　　</w:t>
      </w:r>
      <w:r>
        <w:rPr>
          <w:rStyle w:val="5"/>
          <w:sz w:val="24"/>
          <w:szCs w:val="24"/>
          <w:shd w:val="clear" w:fill="FFFFFF"/>
        </w:rPr>
        <w:t>三、工业和建筑业</w:t>
      </w:r>
    </w:p>
    <w:p>
      <w:pPr>
        <w:pStyle w:val="3"/>
        <w:keepNext w:val="0"/>
        <w:keepLines w:val="0"/>
        <w:widowControl/>
        <w:suppressLineNumbers w:val="0"/>
        <w:spacing w:before="0" w:beforeAutospacing="0" w:after="210" w:afterAutospacing="0" w:line="525" w:lineRule="atLeast"/>
        <w:ind w:left="826" w:right="826"/>
      </w:pPr>
      <w:r>
        <w:rPr>
          <w:sz w:val="24"/>
          <w:szCs w:val="24"/>
          <w:shd w:val="clear" w:fill="FFFFFF"/>
        </w:rPr>
        <w:t>　　工业生产保持稳定增长。全省全部工业增加值12255.46亿元，增长7.8%。年末全省规模以上工业企业达到16464家，比上年净增539家，增长3.4%。规模以上工业增加值增长8.0%。其中：国有及国有控股企业增长2.6%；集体企业下降1.5%；股份合作企业下降3.6%；外商及港澳台投资企业增长8.3%；其他经济类型企业增长7.7%。轻工业增长6.0%；重工业增长9.2%。</w:t>
      </w:r>
    </w:p>
    <w:p>
      <w:pPr>
        <w:pStyle w:val="3"/>
        <w:keepNext w:val="0"/>
        <w:keepLines w:val="0"/>
        <w:widowControl/>
        <w:suppressLineNumbers w:val="0"/>
        <w:spacing w:before="0" w:beforeAutospacing="0" w:after="210" w:afterAutospacing="0" w:line="525" w:lineRule="atLeast"/>
        <w:ind w:left="826" w:right="826"/>
        <w:jc w:val="center"/>
      </w:pPr>
      <w:r>
        <w:rPr>
          <w:sz w:val="24"/>
          <w:szCs w:val="24"/>
          <w:shd w:val="clear" w:fill="FFFFFF"/>
        </w:rPr>
        <w:t>　　</w:t>
      </w:r>
      <w:r>
        <w:rPr>
          <w:sz w:val="24"/>
          <w:szCs w:val="24"/>
          <w:bdr w:val="none" w:color="auto" w:sz="0" w:space="0"/>
          <w:shd w:val="clear" w:fill="FFFFFF"/>
        </w:rPr>
        <w:fldChar w:fldCharType="begin"/>
      </w:r>
      <w:r>
        <w:rPr>
          <w:sz w:val="24"/>
          <w:szCs w:val="24"/>
          <w:bdr w:val="none" w:color="auto" w:sz="0" w:space="0"/>
          <w:shd w:val="clear" w:fill="FFFFFF"/>
        </w:rPr>
        <w:instrText xml:space="preserve">INCLUDEPICTURE \d "http://www.stats-hb.gov.cn/CMSwww/201703/201703060921013.png" \* MERGEFORMATINET </w:instrText>
      </w:r>
      <w:r>
        <w:rPr>
          <w:sz w:val="24"/>
          <w:szCs w:val="24"/>
          <w:bdr w:val="none" w:color="auto" w:sz="0" w:space="0"/>
          <w:shd w:val="clear" w:fill="FFFFFF"/>
        </w:rPr>
        <w:fldChar w:fldCharType="separate"/>
      </w:r>
      <w:r>
        <w:rPr>
          <w:sz w:val="24"/>
          <w:szCs w:val="24"/>
          <w:bdr w:val="none" w:color="auto" w:sz="0" w:space="0"/>
          <w:shd w:val="clear" w:fill="FFFFFF"/>
        </w:rPr>
        <w:drawing>
          <wp:inline distT="0" distB="0" distL="114300" distR="114300">
            <wp:extent cx="4591050" cy="3200400"/>
            <wp:effectExtent l="0" t="0" r="0" b="0"/>
            <wp:docPr id="9"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descr="IMG_258"/>
                    <pic:cNvPicPr>
                      <a:picLocks noChangeAspect="1"/>
                    </pic:cNvPicPr>
                  </pic:nvPicPr>
                  <pic:blipFill>
                    <a:blip r:embed="rId6"/>
                    <a:stretch>
                      <a:fillRect/>
                    </a:stretch>
                  </pic:blipFill>
                  <pic:spPr>
                    <a:xfrm>
                      <a:off x="0" y="0"/>
                      <a:ext cx="4591050" cy="3200400"/>
                    </a:xfrm>
                    <a:prstGeom prst="rect">
                      <a:avLst/>
                    </a:prstGeom>
                    <a:noFill/>
                    <a:ln w="9525">
                      <a:noFill/>
                    </a:ln>
                  </pic:spPr>
                </pic:pic>
              </a:graphicData>
            </a:graphic>
          </wp:inline>
        </w:drawing>
      </w:r>
      <w:r>
        <w:rPr>
          <w:sz w:val="24"/>
          <w:szCs w:val="24"/>
          <w:bdr w:val="none" w:color="auto" w:sz="0" w:space="0"/>
          <w:shd w:val="clear" w:fill="FFFFFF"/>
        </w:rPr>
        <w:fldChar w:fldCharType="end"/>
      </w:r>
      <w:r>
        <w:rPr>
          <w:sz w:val="24"/>
          <w:szCs w:val="24"/>
          <w:shd w:val="clear" w:fill="FFFFFF"/>
        </w:rPr>
        <w:t> </w:t>
      </w:r>
    </w:p>
    <w:p>
      <w:pPr>
        <w:pStyle w:val="3"/>
        <w:keepNext w:val="0"/>
        <w:keepLines w:val="0"/>
        <w:widowControl/>
        <w:suppressLineNumbers w:val="0"/>
        <w:spacing w:before="0" w:beforeAutospacing="0" w:after="210" w:afterAutospacing="0" w:line="525" w:lineRule="atLeast"/>
        <w:ind w:left="826" w:right="826"/>
      </w:pPr>
      <w:r>
        <w:rPr>
          <w:sz w:val="24"/>
          <w:szCs w:val="24"/>
          <w:shd w:val="clear" w:fill="FFFFFF"/>
        </w:rPr>
        <w:t>　　制造业增长8.4%，快于规模以上工业0.4个百分点。高技术制造业增长10.7%，快于规模以上工业2.7个百分点，占规模以上工业增加值的比重达8.3%，对规模以上工业增长的贡献率达10.8%。</w:t>
      </w:r>
    </w:p>
    <w:p>
      <w:pPr>
        <w:pStyle w:val="3"/>
        <w:keepNext w:val="0"/>
        <w:keepLines w:val="0"/>
        <w:widowControl/>
        <w:suppressLineNumbers w:val="0"/>
        <w:spacing w:before="0" w:beforeAutospacing="0" w:after="210" w:afterAutospacing="0" w:line="525" w:lineRule="atLeast"/>
        <w:ind w:left="826" w:right="826"/>
      </w:pPr>
      <w:r>
        <w:rPr>
          <w:sz w:val="24"/>
          <w:szCs w:val="24"/>
          <w:shd w:val="clear" w:fill="FFFFFF"/>
        </w:rPr>
        <w:t>　　全年规模以上工业完成销售产值48725.2亿元，增长11.5%。产品销售率为99.5%，实现出口交货值2169.9亿元，增长15.0%。全省千亿元产业为17个，与上年持平。全年规模以上工业企业实现利润2441.35亿元，增长9.6%。</w:t>
      </w:r>
    </w:p>
    <w:p>
      <w:pPr>
        <w:pStyle w:val="3"/>
        <w:keepNext w:val="0"/>
        <w:keepLines w:val="0"/>
        <w:widowControl/>
        <w:suppressLineNumbers w:val="0"/>
        <w:spacing w:before="0" w:beforeAutospacing="0" w:after="210" w:afterAutospacing="0" w:line="525" w:lineRule="atLeast"/>
        <w:ind w:left="826" w:right="826"/>
        <w:jc w:val="center"/>
      </w:pPr>
      <w:r>
        <w:rPr>
          <w:sz w:val="24"/>
          <w:szCs w:val="24"/>
          <w:shd w:val="clear" w:fill="FFFFFF"/>
        </w:rPr>
        <w:t>　　表2　　2016年主要工业产品产量</w:t>
      </w:r>
    </w:p>
    <w:tbl>
      <w:tblPr>
        <w:tblW w:w="8454" w:type="dxa"/>
        <w:jc w:val="center"/>
        <w:tblInd w:w="1" w:type="dxa"/>
        <w:tblBorders>
          <w:top w:val="outset" w:color="333333" w:sz="6" w:space="0"/>
          <w:left w:val="outset" w:color="333333" w:sz="6" w:space="0"/>
          <w:bottom w:val="outset" w:color="333333" w:sz="6" w:space="0"/>
          <w:right w:val="outset" w:color="333333" w:sz="6" w:space="0"/>
          <w:insideH w:val="outset" w:color="333333" w:sz="6" w:space="0"/>
          <w:insideV w:val="outset" w:color="333333" w:sz="6" w:space="0"/>
        </w:tblBorders>
        <w:shd w:val="clear"/>
        <w:tblLayout w:type="fixed"/>
        <w:tblCellMar>
          <w:top w:w="15" w:type="dxa"/>
          <w:left w:w="15" w:type="dxa"/>
          <w:bottom w:w="15" w:type="dxa"/>
          <w:right w:w="15" w:type="dxa"/>
        </w:tblCellMar>
      </w:tblPr>
      <w:tblGrid>
        <w:gridCol w:w="3021"/>
        <w:gridCol w:w="2132"/>
        <w:gridCol w:w="1783"/>
        <w:gridCol w:w="1518"/>
      </w:tblGrid>
      <w:tr>
        <w:tblPrEx>
          <w:tblBorders>
            <w:top w:val="outset" w:color="333333" w:sz="6" w:space="0"/>
            <w:left w:val="outset" w:color="333333" w:sz="6" w:space="0"/>
            <w:bottom w:val="outset" w:color="333333" w:sz="6" w:space="0"/>
            <w:right w:val="outset" w:color="333333" w:sz="6" w:space="0"/>
            <w:insideH w:val="outset" w:color="333333" w:sz="6" w:space="0"/>
            <w:insideV w:val="outset" w:color="333333" w:sz="6" w:space="0"/>
          </w:tblBorders>
          <w:shd w:val="clear"/>
          <w:tblLayout w:type="fixed"/>
          <w:tblCellMar>
            <w:top w:w="15" w:type="dxa"/>
            <w:left w:w="15" w:type="dxa"/>
            <w:bottom w:w="15" w:type="dxa"/>
            <w:right w:w="15" w:type="dxa"/>
          </w:tblCellMar>
        </w:tblPrEx>
        <w:trPr>
          <w:jc w:val="center"/>
        </w:trPr>
        <w:tc>
          <w:tcPr>
            <w:tcW w:w="3021"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center"/>
            </w:pPr>
            <w:r>
              <w:rPr>
                <w:rFonts w:hint="eastAsia" w:ascii="微软雅黑" w:hAnsi="微软雅黑" w:eastAsia="微软雅黑" w:cs="微软雅黑"/>
                <w:color w:val="333333"/>
                <w:sz w:val="21"/>
                <w:szCs w:val="21"/>
              </w:rPr>
              <w:t>　　产品名称</w:t>
            </w:r>
          </w:p>
        </w:tc>
        <w:tc>
          <w:tcPr>
            <w:tcW w:w="2132"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center"/>
            </w:pPr>
            <w:r>
              <w:rPr>
                <w:rFonts w:hint="eastAsia" w:ascii="微软雅黑" w:hAnsi="微软雅黑" w:eastAsia="微软雅黑" w:cs="微软雅黑"/>
                <w:color w:val="333333"/>
                <w:sz w:val="21"/>
                <w:szCs w:val="21"/>
              </w:rPr>
              <w:t>　　单　位</w:t>
            </w:r>
          </w:p>
        </w:tc>
        <w:tc>
          <w:tcPr>
            <w:tcW w:w="1783"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center"/>
            </w:pPr>
            <w:r>
              <w:rPr>
                <w:rFonts w:hint="eastAsia" w:ascii="微软雅黑" w:hAnsi="微软雅黑" w:eastAsia="微软雅黑" w:cs="微软雅黑"/>
                <w:color w:val="333333"/>
                <w:sz w:val="21"/>
                <w:szCs w:val="21"/>
              </w:rPr>
              <w:t>　　产　量</w:t>
            </w:r>
          </w:p>
        </w:tc>
        <w:tc>
          <w:tcPr>
            <w:tcW w:w="1518"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center"/>
            </w:pPr>
            <w:r>
              <w:rPr>
                <w:rFonts w:hint="eastAsia" w:ascii="微软雅黑" w:hAnsi="微软雅黑" w:eastAsia="微软雅黑" w:cs="微软雅黑"/>
                <w:color w:val="333333"/>
                <w:sz w:val="21"/>
                <w:szCs w:val="21"/>
              </w:rPr>
              <w:t>　　比上年增长%</w:t>
            </w:r>
          </w:p>
        </w:tc>
      </w:tr>
      <w:tr>
        <w:tblPrEx>
          <w:tblBorders>
            <w:top w:val="outset" w:color="333333" w:sz="6" w:space="0"/>
            <w:left w:val="outset" w:color="333333" w:sz="6" w:space="0"/>
            <w:bottom w:val="outset" w:color="333333" w:sz="6" w:space="0"/>
            <w:right w:val="outset" w:color="333333" w:sz="6" w:space="0"/>
            <w:insideH w:val="outset" w:color="333333" w:sz="6" w:space="0"/>
            <w:insideV w:val="outset" w:color="333333" w:sz="6" w:space="0"/>
          </w:tblBorders>
          <w:tblLayout w:type="fixed"/>
          <w:tblCellMar>
            <w:top w:w="15" w:type="dxa"/>
            <w:left w:w="15" w:type="dxa"/>
            <w:bottom w:w="15" w:type="dxa"/>
            <w:right w:w="15" w:type="dxa"/>
          </w:tblCellMar>
        </w:tblPrEx>
        <w:trPr>
          <w:jc w:val="center"/>
        </w:trPr>
        <w:tc>
          <w:tcPr>
            <w:tcW w:w="3021"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pPr>
            <w:r>
              <w:rPr>
                <w:rFonts w:hint="eastAsia" w:ascii="微软雅黑" w:hAnsi="微软雅黑" w:eastAsia="微软雅黑" w:cs="微软雅黑"/>
                <w:color w:val="333333"/>
                <w:sz w:val="21"/>
                <w:szCs w:val="21"/>
              </w:rPr>
              <w:t>　　纱</w:t>
            </w:r>
          </w:p>
        </w:tc>
        <w:tc>
          <w:tcPr>
            <w:tcW w:w="2132"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center"/>
            </w:pPr>
            <w:r>
              <w:rPr>
                <w:rFonts w:hint="eastAsia" w:ascii="微软雅黑" w:hAnsi="微软雅黑" w:eastAsia="微软雅黑" w:cs="微软雅黑"/>
                <w:color w:val="333333"/>
                <w:sz w:val="21"/>
                <w:szCs w:val="21"/>
              </w:rPr>
              <w:t>　　万　吨</w:t>
            </w:r>
          </w:p>
        </w:tc>
        <w:tc>
          <w:tcPr>
            <w:tcW w:w="1783"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right"/>
            </w:pPr>
            <w:r>
              <w:rPr>
                <w:rFonts w:hint="eastAsia" w:ascii="微软雅黑" w:hAnsi="微软雅黑" w:eastAsia="微软雅黑" w:cs="微软雅黑"/>
                <w:color w:val="333333"/>
                <w:sz w:val="21"/>
                <w:szCs w:val="21"/>
              </w:rPr>
              <w:t>　　321.5</w:t>
            </w:r>
          </w:p>
        </w:tc>
        <w:tc>
          <w:tcPr>
            <w:tcW w:w="1518"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right"/>
            </w:pPr>
            <w:r>
              <w:rPr>
                <w:rFonts w:hint="eastAsia" w:ascii="微软雅黑" w:hAnsi="微软雅黑" w:eastAsia="微软雅黑" w:cs="微软雅黑"/>
                <w:color w:val="333333"/>
                <w:sz w:val="21"/>
                <w:szCs w:val="21"/>
              </w:rPr>
              <w:t>　　-0.3</w:t>
            </w:r>
          </w:p>
        </w:tc>
      </w:tr>
      <w:tr>
        <w:tblPrEx>
          <w:tblBorders>
            <w:top w:val="outset" w:color="333333" w:sz="6" w:space="0"/>
            <w:left w:val="outset" w:color="333333" w:sz="6" w:space="0"/>
            <w:bottom w:val="outset" w:color="333333" w:sz="6" w:space="0"/>
            <w:right w:val="outset" w:color="333333" w:sz="6" w:space="0"/>
            <w:insideH w:val="outset" w:color="333333" w:sz="6" w:space="0"/>
            <w:insideV w:val="outset" w:color="333333" w:sz="6" w:space="0"/>
          </w:tblBorders>
          <w:tblLayout w:type="fixed"/>
          <w:tblCellMar>
            <w:top w:w="15" w:type="dxa"/>
            <w:left w:w="15" w:type="dxa"/>
            <w:bottom w:w="15" w:type="dxa"/>
            <w:right w:w="15" w:type="dxa"/>
          </w:tblCellMar>
        </w:tblPrEx>
        <w:trPr>
          <w:jc w:val="center"/>
        </w:trPr>
        <w:tc>
          <w:tcPr>
            <w:tcW w:w="3021"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pPr>
            <w:r>
              <w:rPr>
                <w:rFonts w:hint="eastAsia" w:ascii="微软雅黑" w:hAnsi="微软雅黑" w:eastAsia="微软雅黑" w:cs="微软雅黑"/>
                <w:color w:val="333333"/>
                <w:sz w:val="21"/>
                <w:szCs w:val="21"/>
              </w:rPr>
              <w:t>　　布</w:t>
            </w:r>
          </w:p>
        </w:tc>
        <w:tc>
          <w:tcPr>
            <w:tcW w:w="2132"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center"/>
            </w:pPr>
            <w:r>
              <w:rPr>
                <w:rFonts w:hint="eastAsia" w:ascii="微软雅黑" w:hAnsi="微软雅黑" w:eastAsia="微软雅黑" w:cs="微软雅黑"/>
                <w:color w:val="333333"/>
                <w:sz w:val="21"/>
                <w:szCs w:val="21"/>
              </w:rPr>
              <w:t>　　亿　米</w:t>
            </w:r>
          </w:p>
        </w:tc>
        <w:tc>
          <w:tcPr>
            <w:tcW w:w="1783"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right"/>
            </w:pPr>
            <w:r>
              <w:rPr>
                <w:rFonts w:hint="eastAsia" w:ascii="微软雅黑" w:hAnsi="微软雅黑" w:eastAsia="微软雅黑" w:cs="微软雅黑"/>
                <w:color w:val="333333"/>
                <w:sz w:val="21"/>
                <w:szCs w:val="21"/>
              </w:rPr>
              <w:t>　　78.5</w:t>
            </w:r>
          </w:p>
        </w:tc>
        <w:tc>
          <w:tcPr>
            <w:tcW w:w="1518"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right"/>
            </w:pPr>
            <w:r>
              <w:rPr>
                <w:rFonts w:hint="eastAsia" w:ascii="微软雅黑" w:hAnsi="微软雅黑" w:eastAsia="微软雅黑" w:cs="微软雅黑"/>
                <w:color w:val="333333"/>
                <w:sz w:val="21"/>
                <w:szCs w:val="21"/>
              </w:rPr>
              <w:t>　　1.6</w:t>
            </w:r>
          </w:p>
        </w:tc>
      </w:tr>
      <w:tr>
        <w:tblPrEx>
          <w:tblBorders>
            <w:top w:val="outset" w:color="333333" w:sz="6" w:space="0"/>
            <w:left w:val="outset" w:color="333333" w:sz="6" w:space="0"/>
            <w:bottom w:val="outset" w:color="333333" w:sz="6" w:space="0"/>
            <w:right w:val="outset" w:color="333333" w:sz="6" w:space="0"/>
            <w:insideH w:val="outset" w:color="333333" w:sz="6" w:space="0"/>
            <w:insideV w:val="outset" w:color="333333" w:sz="6" w:space="0"/>
          </w:tblBorders>
          <w:tblLayout w:type="fixed"/>
          <w:tblCellMar>
            <w:top w:w="15" w:type="dxa"/>
            <w:left w:w="15" w:type="dxa"/>
            <w:bottom w:w="15" w:type="dxa"/>
            <w:right w:w="15" w:type="dxa"/>
          </w:tblCellMar>
        </w:tblPrEx>
        <w:trPr>
          <w:jc w:val="center"/>
        </w:trPr>
        <w:tc>
          <w:tcPr>
            <w:tcW w:w="3021"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pPr>
            <w:r>
              <w:rPr>
                <w:rFonts w:hint="eastAsia" w:ascii="微软雅黑" w:hAnsi="微软雅黑" w:eastAsia="微软雅黑" w:cs="微软雅黑"/>
                <w:color w:val="333333"/>
                <w:sz w:val="21"/>
                <w:szCs w:val="21"/>
              </w:rPr>
              <w:t>　　化学纤维</w:t>
            </w:r>
          </w:p>
        </w:tc>
        <w:tc>
          <w:tcPr>
            <w:tcW w:w="2132"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center"/>
            </w:pPr>
            <w:r>
              <w:rPr>
                <w:rFonts w:hint="eastAsia" w:ascii="微软雅黑" w:hAnsi="微软雅黑" w:eastAsia="微软雅黑" w:cs="微软雅黑"/>
                <w:color w:val="333333"/>
                <w:sz w:val="21"/>
                <w:szCs w:val="21"/>
              </w:rPr>
              <w:t>　　万　吨</w:t>
            </w:r>
          </w:p>
        </w:tc>
        <w:tc>
          <w:tcPr>
            <w:tcW w:w="1783"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right"/>
            </w:pPr>
            <w:r>
              <w:rPr>
                <w:rFonts w:hint="eastAsia" w:ascii="微软雅黑" w:hAnsi="微软雅黑" w:eastAsia="微软雅黑" w:cs="微软雅黑"/>
                <w:color w:val="333333"/>
                <w:sz w:val="21"/>
                <w:szCs w:val="21"/>
              </w:rPr>
              <w:t>　　27.5</w:t>
            </w:r>
          </w:p>
        </w:tc>
        <w:tc>
          <w:tcPr>
            <w:tcW w:w="1518"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right"/>
            </w:pPr>
            <w:r>
              <w:rPr>
                <w:rFonts w:hint="eastAsia" w:ascii="微软雅黑" w:hAnsi="微软雅黑" w:eastAsia="微软雅黑" w:cs="微软雅黑"/>
                <w:color w:val="333333"/>
                <w:sz w:val="21"/>
                <w:szCs w:val="21"/>
              </w:rPr>
              <w:t>　　0.7</w:t>
            </w:r>
          </w:p>
        </w:tc>
      </w:tr>
      <w:tr>
        <w:tblPrEx>
          <w:tblBorders>
            <w:top w:val="outset" w:color="333333" w:sz="6" w:space="0"/>
            <w:left w:val="outset" w:color="333333" w:sz="6" w:space="0"/>
            <w:bottom w:val="outset" w:color="333333" w:sz="6" w:space="0"/>
            <w:right w:val="outset" w:color="333333" w:sz="6" w:space="0"/>
            <w:insideH w:val="outset" w:color="333333" w:sz="6" w:space="0"/>
            <w:insideV w:val="outset" w:color="333333" w:sz="6" w:space="0"/>
          </w:tblBorders>
          <w:tblLayout w:type="fixed"/>
          <w:tblCellMar>
            <w:top w:w="15" w:type="dxa"/>
            <w:left w:w="15" w:type="dxa"/>
            <w:bottom w:w="15" w:type="dxa"/>
            <w:right w:w="15" w:type="dxa"/>
          </w:tblCellMar>
        </w:tblPrEx>
        <w:trPr>
          <w:jc w:val="center"/>
        </w:trPr>
        <w:tc>
          <w:tcPr>
            <w:tcW w:w="3021"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pPr>
            <w:r>
              <w:rPr>
                <w:rFonts w:hint="eastAsia" w:ascii="微软雅黑" w:hAnsi="微软雅黑" w:eastAsia="微软雅黑" w:cs="微软雅黑"/>
                <w:color w:val="333333"/>
                <w:sz w:val="21"/>
                <w:szCs w:val="21"/>
              </w:rPr>
              <w:t>　　卷　烟</w:t>
            </w:r>
          </w:p>
        </w:tc>
        <w:tc>
          <w:tcPr>
            <w:tcW w:w="2132"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center"/>
            </w:pPr>
            <w:r>
              <w:rPr>
                <w:rFonts w:hint="eastAsia" w:ascii="微软雅黑" w:hAnsi="微软雅黑" w:eastAsia="微软雅黑" w:cs="微软雅黑"/>
                <w:color w:val="333333"/>
                <w:sz w:val="21"/>
                <w:szCs w:val="21"/>
              </w:rPr>
              <w:t>　　亿　支</w:t>
            </w:r>
          </w:p>
        </w:tc>
        <w:tc>
          <w:tcPr>
            <w:tcW w:w="1783"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right"/>
            </w:pPr>
            <w:r>
              <w:rPr>
                <w:rFonts w:hint="eastAsia" w:ascii="微软雅黑" w:hAnsi="微软雅黑" w:eastAsia="微软雅黑" w:cs="微软雅黑"/>
                <w:color w:val="333333"/>
                <w:sz w:val="21"/>
                <w:szCs w:val="21"/>
              </w:rPr>
              <w:t>　　1221.0</w:t>
            </w:r>
          </w:p>
        </w:tc>
        <w:tc>
          <w:tcPr>
            <w:tcW w:w="1518"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right"/>
            </w:pPr>
            <w:r>
              <w:rPr>
                <w:rFonts w:hint="eastAsia" w:ascii="微软雅黑" w:hAnsi="微软雅黑" w:eastAsia="微软雅黑" w:cs="微软雅黑"/>
                <w:color w:val="333333"/>
                <w:sz w:val="21"/>
                <w:szCs w:val="21"/>
              </w:rPr>
              <w:t>　　-12.1</w:t>
            </w:r>
          </w:p>
        </w:tc>
      </w:tr>
      <w:tr>
        <w:tblPrEx>
          <w:tblBorders>
            <w:top w:val="outset" w:color="333333" w:sz="6" w:space="0"/>
            <w:left w:val="outset" w:color="333333" w:sz="6" w:space="0"/>
            <w:bottom w:val="outset" w:color="333333" w:sz="6" w:space="0"/>
            <w:right w:val="outset" w:color="333333" w:sz="6" w:space="0"/>
            <w:insideH w:val="outset" w:color="333333" w:sz="6" w:space="0"/>
            <w:insideV w:val="outset" w:color="333333" w:sz="6" w:space="0"/>
          </w:tblBorders>
          <w:tblLayout w:type="fixed"/>
          <w:tblCellMar>
            <w:top w:w="15" w:type="dxa"/>
            <w:left w:w="15" w:type="dxa"/>
            <w:bottom w:w="15" w:type="dxa"/>
            <w:right w:w="15" w:type="dxa"/>
          </w:tblCellMar>
        </w:tblPrEx>
        <w:trPr>
          <w:jc w:val="center"/>
        </w:trPr>
        <w:tc>
          <w:tcPr>
            <w:tcW w:w="3021"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pPr>
            <w:r>
              <w:rPr>
                <w:rFonts w:hint="eastAsia" w:ascii="微软雅黑" w:hAnsi="微软雅黑" w:eastAsia="微软雅黑" w:cs="微软雅黑"/>
                <w:color w:val="333333"/>
                <w:sz w:val="21"/>
                <w:szCs w:val="21"/>
              </w:rPr>
              <w:t>　　家用电冰箱</w:t>
            </w:r>
          </w:p>
        </w:tc>
        <w:tc>
          <w:tcPr>
            <w:tcW w:w="2132"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center"/>
            </w:pPr>
            <w:r>
              <w:rPr>
                <w:rFonts w:hint="eastAsia" w:ascii="微软雅黑" w:hAnsi="微软雅黑" w:eastAsia="微软雅黑" w:cs="微软雅黑"/>
                <w:color w:val="333333"/>
                <w:sz w:val="21"/>
                <w:szCs w:val="21"/>
              </w:rPr>
              <w:t>　　万　台</w:t>
            </w:r>
          </w:p>
        </w:tc>
        <w:tc>
          <w:tcPr>
            <w:tcW w:w="1783"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right"/>
            </w:pPr>
            <w:r>
              <w:rPr>
                <w:rFonts w:hint="eastAsia" w:ascii="微软雅黑" w:hAnsi="微软雅黑" w:eastAsia="微软雅黑" w:cs="微软雅黑"/>
                <w:color w:val="333333"/>
                <w:sz w:val="21"/>
                <w:szCs w:val="21"/>
              </w:rPr>
              <w:t>　　392.1</w:t>
            </w:r>
          </w:p>
        </w:tc>
        <w:tc>
          <w:tcPr>
            <w:tcW w:w="1518"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right"/>
            </w:pPr>
            <w:r>
              <w:rPr>
                <w:rFonts w:hint="eastAsia" w:ascii="微软雅黑" w:hAnsi="微软雅黑" w:eastAsia="微软雅黑" w:cs="微软雅黑"/>
                <w:color w:val="333333"/>
                <w:sz w:val="21"/>
                <w:szCs w:val="21"/>
              </w:rPr>
              <w:t>　　36.3</w:t>
            </w:r>
          </w:p>
        </w:tc>
      </w:tr>
      <w:tr>
        <w:tblPrEx>
          <w:tblBorders>
            <w:top w:val="outset" w:color="333333" w:sz="6" w:space="0"/>
            <w:left w:val="outset" w:color="333333" w:sz="6" w:space="0"/>
            <w:bottom w:val="outset" w:color="333333" w:sz="6" w:space="0"/>
            <w:right w:val="outset" w:color="333333" w:sz="6" w:space="0"/>
            <w:insideH w:val="outset" w:color="333333" w:sz="6" w:space="0"/>
            <w:insideV w:val="outset" w:color="333333" w:sz="6" w:space="0"/>
          </w:tblBorders>
          <w:tblLayout w:type="fixed"/>
          <w:tblCellMar>
            <w:top w:w="15" w:type="dxa"/>
            <w:left w:w="15" w:type="dxa"/>
            <w:bottom w:w="15" w:type="dxa"/>
            <w:right w:w="15" w:type="dxa"/>
          </w:tblCellMar>
        </w:tblPrEx>
        <w:trPr>
          <w:jc w:val="center"/>
        </w:trPr>
        <w:tc>
          <w:tcPr>
            <w:tcW w:w="3021"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pPr>
            <w:r>
              <w:rPr>
                <w:rFonts w:hint="eastAsia" w:ascii="微软雅黑" w:hAnsi="微软雅黑" w:eastAsia="微软雅黑" w:cs="微软雅黑"/>
                <w:color w:val="333333"/>
                <w:sz w:val="21"/>
                <w:szCs w:val="21"/>
              </w:rPr>
              <w:t>　　房间空气调节器</w:t>
            </w:r>
          </w:p>
        </w:tc>
        <w:tc>
          <w:tcPr>
            <w:tcW w:w="2132"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center"/>
            </w:pPr>
            <w:r>
              <w:rPr>
                <w:rFonts w:hint="eastAsia" w:ascii="微软雅黑" w:hAnsi="微软雅黑" w:eastAsia="微软雅黑" w:cs="微软雅黑"/>
                <w:color w:val="333333"/>
                <w:sz w:val="21"/>
                <w:szCs w:val="21"/>
              </w:rPr>
              <w:t>　　万　台</w:t>
            </w:r>
          </w:p>
        </w:tc>
        <w:tc>
          <w:tcPr>
            <w:tcW w:w="1783"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right"/>
            </w:pPr>
            <w:r>
              <w:rPr>
                <w:rFonts w:hint="eastAsia" w:ascii="微软雅黑" w:hAnsi="微软雅黑" w:eastAsia="微软雅黑" w:cs="微软雅黑"/>
                <w:color w:val="333333"/>
                <w:sz w:val="21"/>
                <w:szCs w:val="21"/>
              </w:rPr>
              <w:t>　　1206.4</w:t>
            </w:r>
          </w:p>
        </w:tc>
        <w:tc>
          <w:tcPr>
            <w:tcW w:w="1518"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right"/>
            </w:pPr>
            <w:r>
              <w:rPr>
                <w:rFonts w:hint="eastAsia" w:ascii="微软雅黑" w:hAnsi="微软雅黑" w:eastAsia="微软雅黑" w:cs="微软雅黑"/>
                <w:color w:val="333333"/>
                <w:sz w:val="21"/>
                <w:szCs w:val="21"/>
              </w:rPr>
              <w:t>　　-0.5</w:t>
            </w:r>
          </w:p>
        </w:tc>
      </w:tr>
      <w:tr>
        <w:tblPrEx>
          <w:tblBorders>
            <w:top w:val="outset" w:color="333333" w:sz="6" w:space="0"/>
            <w:left w:val="outset" w:color="333333" w:sz="6" w:space="0"/>
            <w:bottom w:val="outset" w:color="333333" w:sz="6" w:space="0"/>
            <w:right w:val="outset" w:color="333333" w:sz="6" w:space="0"/>
            <w:insideH w:val="outset" w:color="333333" w:sz="6" w:space="0"/>
            <w:insideV w:val="outset" w:color="333333" w:sz="6" w:space="0"/>
          </w:tblBorders>
          <w:tblLayout w:type="fixed"/>
          <w:tblCellMar>
            <w:top w:w="15" w:type="dxa"/>
            <w:left w:w="15" w:type="dxa"/>
            <w:bottom w:w="15" w:type="dxa"/>
            <w:right w:w="15" w:type="dxa"/>
          </w:tblCellMar>
        </w:tblPrEx>
        <w:trPr>
          <w:jc w:val="center"/>
        </w:trPr>
        <w:tc>
          <w:tcPr>
            <w:tcW w:w="3021"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pPr>
            <w:r>
              <w:rPr>
                <w:rFonts w:hint="eastAsia" w:ascii="微软雅黑" w:hAnsi="微软雅黑" w:eastAsia="微软雅黑" w:cs="微软雅黑"/>
                <w:color w:val="333333"/>
                <w:sz w:val="21"/>
                <w:szCs w:val="21"/>
              </w:rPr>
              <w:t>　　原　油</w:t>
            </w:r>
          </w:p>
        </w:tc>
        <w:tc>
          <w:tcPr>
            <w:tcW w:w="2132"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center"/>
            </w:pPr>
            <w:r>
              <w:rPr>
                <w:rFonts w:hint="eastAsia" w:ascii="微软雅黑" w:hAnsi="微软雅黑" w:eastAsia="微软雅黑" w:cs="微软雅黑"/>
                <w:color w:val="333333"/>
                <w:sz w:val="21"/>
                <w:szCs w:val="21"/>
              </w:rPr>
              <w:t>　　万　吨</w:t>
            </w:r>
          </w:p>
        </w:tc>
        <w:tc>
          <w:tcPr>
            <w:tcW w:w="1783"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right"/>
            </w:pPr>
            <w:r>
              <w:rPr>
                <w:rFonts w:hint="eastAsia" w:ascii="微软雅黑" w:hAnsi="微软雅黑" w:eastAsia="微软雅黑" w:cs="微软雅黑"/>
                <w:color w:val="333333"/>
                <w:sz w:val="21"/>
                <w:szCs w:val="21"/>
              </w:rPr>
              <w:t>　　58.1</w:t>
            </w:r>
          </w:p>
        </w:tc>
        <w:tc>
          <w:tcPr>
            <w:tcW w:w="1518"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right"/>
            </w:pPr>
            <w:r>
              <w:rPr>
                <w:rFonts w:hint="eastAsia" w:ascii="微软雅黑" w:hAnsi="微软雅黑" w:eastAsia="微软雅黑" w:cs="微软雅黑"/>
                <w:color w:val="333333"/>
                <w:sz w:val="21"/>
                <w:szCs w:val="21"/>
              </w:rPr>
              <w:t>　　-18.2</w:t>
            </w:r>
          </w:p>
        </w:tc>
      </w:tr>
      <w:tr>
        <w:tblPrEx>
          <w:tblBorders>
            <w:top w:val="outset" w:color="333333" w:sz="6" w:space="0"/>
            <w:left w:val="outset" w:color="333333" w:sz="6" w:space="0"/>
            <w:bottom w:val="outset" w:color="333333" w:sz="6" w:space="0"/>
            <w:right w:val="outset" w:color="333333" w:sz="6" w:space="0"/>
            <w:insideH w:val="outset" w:color="333333" w:sz="6" w:space="0"/>
            <w:insideV w:val="outset" w:color="333333" w:sz="6" w:space="0"/>
          </w:tblBorders>
          <w:tblLayout w:type="fixed"/>
          <w:tblCellMar>
            <w:top w:w="15" w:type="dxa"/>
            <w:left w:w="15" w:type="dxa"/>
            <w:bottom w:w="15" w:type="dxa"/>
            <w:right w:w="15" w:type="dxa"/>
          </w:tblCellMar>
        </w:tblPrEx>
        <w:trPr>
          <w:jc w:val="center"/>
        </w:trPr>
        <w:tc>
          <w:tcPr>
            <w:tcW w:w="3021"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pPr>
            <w:r>
              <w:rPr>
                <w:rFonts w:hint="eastAsia" w:ascii="微软雅黑" w:hAnsi="微软雅黑" w:eastAsia="微软雅黑" w:cs="微软雅黑"/>
                <w:color w:val="333333"/>
                <w:sz w:val="21"/>
                <w:szCs w:val="21"/>
              </w:rPr>
              <w:t>　　发电量</w:t>
            </w:r>
          </w:p>
        </w:tc>
        <w:tc>
          <w:tcPr>
            <w:tcW w:w="2132"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center"/>
            </w:pPr>
            <w:r>
              <w:rPr>
                <w:rFonts w:hint="eastAsia" w:ascii="微软雅黑" w:hAnsi="微软雅黑" w:eastAsia="微软雅黑" w:cs="微软雅黑"/>
                <w:color w:val="333333"/>
                <w:sz w:val="21"/>
                <w:szCs w:val="21"/>
              </w:rPr>
              <w:t>　　亿千瓦小时</w:t>
            </w:r>
          </w:p>
        </w:tc>
        <w:tc>
          <w:tcPr>
            <w:tcW w:w="1783"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right"/>
            </w:pPr>
            <w:r>
              <w:rPr>
                <w:rFonts w:hint="eastAsia" w:ascii="微软雅黑" w:hAnsi="微软雅黑" w:eastAsia="微软雅黑" w:cs="微软雅黑"/>
                <w:color w:val="333333"/>
                <w:sz w:val="21"/>
                <w:szCs w:val="21"/>
              </w:rPr>
              <w:t>　　2423.1</w:t>
            </w:r>
          </w:p>
        </w:tc>
        <w:tc>
          <w:tcPr>
            <w:tcW w:w="1518"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right"/>
            </w:pPr>
            <w:r>
              <w:rPr>
                <w:rFonts w:hint="eastAsia" w:ascii="微软雅黑" w:hAnsi="微软雅黑" w:eastAsia="微软雅黑" w:cs="微软雅黑"/>
                <w:color w:val="333333"/>
                <w:sz w:val="21"/>
                <w:szCs w:val="21"/>
              </w:rPr>
              <w:t>　　5.5</w:t>
            </w:r>
          </w:p>
        </w:tc>
      </w:tr>
      <w:tr>
        <w:tblPrEx>
          <w:tblBorders>
            <w:top w:val="outset" w:color="333333" w:sz="6" w:space="0"/>
            <w:left w:val="outset" w:color="333333" w:sz="6" w:space="0"/>
            <w:bottom w:val="outset" w:color="333333" w:sz="6" w:space="0"/>
            <w:right w:val="outset" w:color="333333" w:sz="6" w:space="0"/>
            <w:insideH w:val="outset" w:color="333333" w:sz="6" w:space="0"/>
            <w:insideV w:val="outset" w:color="333333" w:sz="6" w:space="0"/>
          </w:tblBorders>
          <w:tblLayout w:type="fixed"/>
          <w:tblCellMar>
            <w:top w:w="15" w:type="dxa"/>
            <w:left w:w="15" w:type="dxa"/>
            <w:bottom w:w="15" w:type="dxa"/>
            <w:right w:w="15" w:type="dxa"/>
          </w:tblCellMar>
        </w:tblPrEx>
        <w:trPr>
          <w:jc w:val="center"/>
        </w:trPr>
        <w:tc>
          <w:tcPr>
            <w:tcW w:w="3021"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pPr>
            <w:r>
              <w:rPr>
                <w:rFonts w:hint="eastAsia" w:ascii="微软雅黑" w:hAnsi="微软雅黑" w:eastAsia="微软雅黑" w:cs="微软雅黑"/>
                <w:color w:val="333333"/>
                <w:sz w:val="21"/>
                <w:szCs w:val="21"/>
              </w:rPr>
              <w:t>　　#水电</w:t>
            </w:r>
          </w:p>
        </w:tc>
        <w:tc>
          <w:tcPr>
            <w:tcW w:w="2132"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center"/>
            </w:pPr>
            <w:r>
              <w:rPr>
                <w:rFonts w:hint="eastAsia" w:ascii="微软雅黑" w:hAnsi="微软雅黑" w:eastAsia="微软雅黑" w:cs="微软雅黑"/>
                <w:color w:val="333333"/>
                <w:sz w:val="21"/>
                <w:szCs w:val="21"/>
              </w:rPr>
              <w:t>　　亿千瓦小时</w:t>
            </w:r>
          </w:p>
        </w:tc>
        <w:tc>
          <w:tcPr>
            <w:tcW w:w="1783"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right"/>
            </w:pPr>
            <w:r>
              <w:rPr>
                <w:rFonts w:hint="eastAsia" w:ascii="微软雅黑" w:hAnsi="微软雅黑" w:eastAsia="微软雅黑" w:cs="微软雅黑"/>
                <w:color w:val="333333"/>
                <w:sz w:val="21"/>
                <w:szCs w:val="21"/>
              </w:rPr>
              <w:t>　　1739.3</w:t>
            </w:r>
          </w:p>
        </w:tc>
        <w:tc>
          <w:tcPr>
            <w:tcW w:w="1518"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right"/>
            </w:pPr>
            <w:r>
              <w:rPr>
                <w:rFonts w:hint="eastAsia" w:ascii="微软雅黑" w:hAnsi="微软雅黑" w:eastAsia="微软雅黑" w:cs="微软雅黑"/>
                <w:color w:val="333333"/>
                <w:sz w:val="21"/>
                <w:szCs w:val="21"/>
              </w:rPr>
              <w:t>　　7.7</w:t>
            </w:r>
          </w:p>
        </w:tc>
      </w:tr>
      <w:tr>
        <w:tblPrEx>
          <w:tblBorders>
            <w:top w:val="outset" w:color="333333" w:sz="6" w:space="0"/>
            <w:left w:val="outset" w:color="333333" w:sz="6" w:space="0"/>
            <w:bottom w:val="outset" w:color="333333" w:sz="6" w:space="0"/>
            <w:right w:val="outset" w:color="333333" w:sz="6" w:space="0"/>
            <w:insideH w:val="outset" w:color="333333" w:sz="6" w:space="0"/>
            <w:insideV w:val="outset" w:color="333333" w:sz="6" w:space="0"/>
          </w:tblBorders>
          <w:tblLayout w:type="fixed"/>
          <w:tblCellMar>
            <w:top w:w="15" w:type="dxa"/>
            <w:left w:w="15" w:type="dxa"/>
            <w:bottom w:w="15" w:type="dxa"/>
            <w:right w:w="15" w:type="dxa"/>
          </w:tblCellMar>
        </w:tblPrEx>
        <w:trPr>
          <w:jc w:val="center"/>
        </w:trPr>
        <w:tc>
          <w:tcPr>
            <w:tcW w:w="3021"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pPr>
            <w:r>
              <w:rPr>
                <w:rFonts w:hint="eastAsia" w:ascii="微软雅黑" w:hAnsi="微软雅黑" w:eastAsia="微软雅黑" w:cs="微软雅黑"/>
                <w:color w:val="333333"/>
                <w:sz w:val="21"/>
                <w:szCs w:val="21"/>
              </w:rPr>
              <w:t>　　粗　钢</w:t>
            </w:r>
          </w:p>
        </w:tc>
        <w:tc>
          <w:tcPr>
            <w:tcW w:w="2132"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center"/>
            </w:pPr>
            <w:r>
              <w:rPr>
                <w:rFonts w:hint="eastAsia" w:ascii="微软雅黑" w:hAnsi="微软雅黑" w:eastAsia="微软雅黑" w:cs="微软雅黑"/>
                <w:color w:val="333333"/>
                <w:sz w:val="21"/>
                <w:szCs w:val="21"/>
              </w:rPr>
              <w:t>　　万　吨</w:t>
            </w:r>
          </w:p>
        </w:tc>
        <w:tc>
          <w:tcPr>
            <w:tcW w:w="1783"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right"/>
            </w:pPr>
            <w:r>
              <w:rPr>
                <w:rFonts w:hint="eastAsia" w:ascii="微软雅黑" w:hAnsi="微软雅黑" w:eastAsia="微软雅黑" w:cs="微软雅黑"/>
                <w:color w:val="333333"/>
                <w:sz w:val="21"/>
                <w:szCs w:val="21"/>
              </w:rPr>
              <w:t>　　2948.5</w:t>
            </w:r>
          </w:p>
        </w:tc>
        <w:tc>
          <w:tcPr>
            <w:tcW w:w="1518"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right"/>
            </w:pPr>
            <w:r>
              <w:rPr>
                <w:rFonts w:hint="eastAsia" w:ascii="微软雅黑" w:hAnsi="微软雅黑" w:eastAsia="微软雅黑" w:cs="微软雅黑"/>
                <w:color w:val="333333"/>
                <w:sz w:val="21"/>
                <w:szCs w:val="21"/>
              </w:rPr>
              <w:t>　　1.0</w:t>
            </w:r>
          </w:p>
        </w:tc>
      </w:tr>
      <w:tr>
        <w:tblPrEx>
          <w:tblBorders>
            <w:top w:val="outset" w:color="333333" w:sz="6" w:space="0"/>
            <w:left w:val="outset" w:color="333333" w:sz="6" w:space="0"/>
            <w:bottom w:val="outset" w:color="333333" w:sz="6" w:space="0"/>
            <w:right w:val="outset" w:color="333333" w:sz="6" w:space="0"/>
            <w:insideH w:val="outset" w:color="333333" w:sz="6" w:space="0"/>
            <w:insideV w:val="outset" w:color="333333" w:sz="6" w:space="0"/>
          </w:tblBorders>
          <w:tblLayout w:type="fixed"/>
          <w:tblCellMar>
            <w:top w:w="15" w:type="dxa"/>
            <w:left w:w="15" w:type="dxa"/>
            <w:bottom w:w="15" w:type="dxa"/>
            <w:right w:w="15" w:type="dxa"/>
          </w:tblCellMar>
        </w:tblPrEx>
        <w:trPr>
          <w:jc w:val="center"/>
        </w:trPr>
        <w:tc>
          <w:tcPr>
            <w:tcW w:w="3021"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pPr>
            <w:r>
              <w:rPr>
                <w:rFonts w:hint="eastAsia" w:ascii="微软雅黑" w:hAnsi="微软雅黑" w:eastAsia="微软雅黑" w:cs="微软雅黑"/>
                <w:color w:val="333333"/>
                <w:sz w:val="21"/>
                <w:szCs w:val="21"/>
              </w:rPr>
              <w:t>　　钢　材</w:t>
            </w:r>
          </w:p>
        </w:tc>
        <w:tc>
          <w:tcPr>
            <w:tcW w:w="2132"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center"/>
            </w:pPr>
            <w:r>
              <w:rPr>
                <w:rFonts w:hint="eastAsia" w:ascii="微软雅黑" w:hAnsi="微软雅黑" w:eastAsia="微软雅黑" w:cs="微软雅黑"/>
                <w:color w:val="333333"/>
                <w:sz w:val="21"/>
                <w:szCs w:val="21"/>
              </w:rPr>
              <w:t>　　万　吨</w:t>
            </w:r>
          </w:p>
        </w:tc>
        <w:tc>
          <w:tcPr>
            <w:tcW w:w="1783"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right"/>
            </w:pPr>
            <w:r>
              <w:rPr>
                <w:rFonts w:hint="eastAsia" w:ascii="微软雅黑" w:hAnsi="微软雅黑" w:eastAsia="微软雅黑" w:cs="微软雅黑"/>
                <w:color w:val="333333"/>
                <w:sz w:val="21"/>
                <w:szCs w:val="21"/>
              </w:rPr>
              <w:t>　　3563.8</w:t>
            </w:r>
          </w:p>
        </w:tc>
        <w:tc>
          <w:tcPr>
            <w:tcW w:w="1518"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right"/>
            </w:pPr>
            <w:r>
              <w:rPr>
                <w:rFonts w:hint="eastAsia" w:ascii="微软雅黑" w:hAnsi="微软雅黑" w:eastAsia="微软雅黑" w:cs="微软雅黑"/>
                <w:color w:val="333333"/>
                <w:sz w:val="21"/>
                <w:szCs w:val="21"/>
              </w:rPr>
              <w:t>　　3.7</w:t>
            </w:r>
          </w:p>
        </w:tc>
      </w:tr>
      <w:tr>
        <w:tblPrEx>
          <w:tblBorders>
            <w:top w:val="outset" w:color="333333" w:sz="6" w:space="0"/>
            <w:left w:val="outset" w:color="333333" w:sz="6" w:space="0"/>
            <w:bottom w:val="outset" w:color="333333" w:sz="6" w:space="0"/>
            <w:right w:val="outset" w:color="333333" w:sz="6" w:space="0"/>
            <w:insideH w:val="outset" w:color="333333" w:sz="6" w:space="0"/>
            <w:insideV w:val="outset" w:color="333333" w:sz="6" w:space="0"/>
          </w:tblBorders>
          <w:tblLayout w:type="fixed"/>
          <w:tblCellMar>
            <w:top w:w="15" w:type="dxa"/>
            <w:left w:w="15" w:type="dxa"/>
            <w:bottom w:w="15" w:type="dxa"/>
            <w:right w:w="15" w:type="dxa"/>
          </w:tblCellMar>
        </w:tblPrEx>
        <w:trPr>
          <w:jc w:val="center"/>
        </w:trPr>
        <w:tc>
          <w:tcPr>
            <w:tcW w:w="3021"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pPr>
            <w:r>
              <w:rPr>
                <w:rFonts w:hint="eastAsia" w:ascii="微软雅黑" w:hAnsi="微软雅黑" w:eastAsia="微软雅黑" w:cs="微软雅黑"/>
                <w:color w:val="333333"/>
                <w:sz w:val="21"/>
                <w:szCs w:val="21"/>
              </w:rPr>
              <w:t>　　十种有色金属</w:t>
            </w:r>
          </w:p>
        </w:tc>
        <w:tc>
          <w:tcPr>
            <w:tcW w:w="2132"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center"/>
            </w:pPr>
            <w:r>
              <w:rPr>
                <w:rFonts w:hint="eastAsia" w:ascii="微软雅黑" w:hAnsi="微软雅黑" w:eastAsia="微软雅黑" w:cs="微软雅黑"/>
                <w:color w:val="333333"/>
                <w:sz w:val="21"/>
                <w:szCs w:val="21"/>
              </w:rPr>
              <w:t>　　万　吨</w:t>
            </w:r>
          </w:p>
        </w:tc>
        <w:tc>
          <w:tcPr>
            <w:tcW w:w="1783"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right"/>
            </w:pPr>
            <w:r>
              <w:rPr>
                <w:rFonts w:hint="eastAsia" w:ascii="微软雅黑" w:hAnsi="微软雅黑" w:eastAsia="微软雅黑" w:cs="微软雅黑"/>
                <w:color w:val="333333"/>
                <w:sz w:val="21"/>
                <w:szCs w:val="21"/>
              </w:rPr>
              <w:t>　　87.5</w:t>
            </w:r>
          </w:p>
        </w:tc>
        <w:tc>
          <w:tcPr>
            <w:tcW w:w="1518"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right"/>
            </w:pPr>
            <w:r>
              <w:rPr>
                <w:rFonts w:hint="eastAsia" w:ascii="微软雅黑" w:hAnsi="微软雅黑" w:eastAsia="微软雅黑" w:cs="微软雅黑"/>
                <w:color w:val="333333"/>
                <w:sz w:val="21"/>
                <w:szCs w:val="21"/>
              </w:rPr>
              <w:t>　　-9.6</w:t>
            </w:r>
          </w:p>
        </w:tc>
      </w:tr>
      <w:tr>
        <w:tblPrEx>
          <w:tblBorders>
            <w:top w:val="outset" w:color="333333" w:sz="6" w:space="0"/>
            <w:left w:val="outset" w:color="333333" w:sz="6" w:space="0"/>
            <w:bottom w:val="outset" w:color="333333" w:sz="6" w:space="0"/>
            <w:right w:val="outset" w:color="333333" w:sz="6" w:space="0"/>
            <w:insideH w:val="outset" w:color="333333" w:sz="6" w:space="0"/>
            <w:insideV w:val="outset" w:color="333333" w:sz="6" w:space="0"/>
          </w:tblBorders>
          <w:tblLayout w:type="fixed"/>
          <w:tblCellMar>
            <w:top w:w="15" w:type="dxa"/>
            <w:left w:w="15" w:type="dxa"/>
            <w:bottom w:w="15" w:type="dxa"/>
            <w:right w:w="15" w:type="dxa"/>
          </w:tblCellMar>
        </w:tblPrEx>
        <w:trPr>
          <w:jc w:val="center"/>
        </w:trPr>
        <w:tc>
          <w:tcPr>
            <w:tcW w:w="3021"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pPr>
            <w:r>
              <w:rPr>
                <w:rFonts w:hint="eastAsia" w:ascii="微软雅黑" w:hAnsi="微软雅黑" w:eastAsia="微软雅黑" w:cs="微软雅黑"/>
                <w:color w:val="333333"/>
                <w:sz w:val="21"/>
                <w:szCs w:val="21"/>
              </w:rPr>
              <w:t>　　#精炼铜</w:t>
            </w:r>
          </w:p>
        </w:tc>
        <w:tc>
          <w:tcPr>
            <w:tcW w:w="2132"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center"/>
            </w:pPr>
            <w:r>
              <w:rPr>
                <w:rFonts w:hint="eastAsia" w:ascii="微软雅黑" w:hAnsi="微软雅黑" w:eastAsia="微软雅黑" w:cs="微软雅黑"/>
                <w:color w:val="333333"/>
                <w:sz w:val="21"/>
                <w:szCs w:val="21"/>
              </w:rPr>
              <w:t>　　万　吨</w:t>
            </w:r>
          </w:p>
        </w:tc>
        <w:tc>
          <w:tcPr>
            <w:tcW w:w="1783"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right"/>
            </w:pPr>
            <w:r>
              <w:rPr>
                <w:rFonts w:hint="eastAsia" w:ascii="微软雅黑" w:hAnsi="微软雅黑" w:eastAsia="微软雅黑" w:cs="微软雅黑"/>
                <w:color w:val="333333"/>
                <w:sz w:val="21"/>
                <w:szCs w:val="21"/>
              </w:rPr>
              <w:t>　　43.6</w:t>
            </w:r>
          </w:p>
        </w:tc>
        <w:tc>
          <w:tcPr>
            <w:tcW w:w="1518"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right"/>
            </w:pPr>
            <w:r>
              <w:rPr>
                <w:rFonts w:hint="eastAsia" w:ascii="微软雅黑" w:hAnsi="微软雅黑" w:eastAsia="微软雅黑" w:cs="微软雅黑"/>
                <w:color w:val="333333"/>
                <w:sz w:val="21"/>
                <w:szCs w:val="21"/>
              </w:rPr>
              <w:t>　　-14.0</w:t>
            </w:r>
          </w:p>
        </w:tc>
      </w:tr>
      <w:tr>
        <w:tblPrEx>
          <w:tblBorders>
            <w:top w:val="outset" w:color="333333" w:sz="6" w:space="0"/>
            <w:left w:val="outset" w:color="333333" w:sz="6" w:space="0"/>
            <w:bottom w:val="outset" w:color="333333" w:sz="6" w:space="0"/>
            <w:right w:val="outset" w:color="333333" w:sz="6" w:space="0"/>
            <w:insideH w:val="outset" w:color="333333" w:sz="6" w:space="0"/>
            <w:insideV w:val="outset" w:color="333333" w:sz="6" w:space="0"/>
          </w:tblBorders>
          <w:tblLayout w:type="fixed"/>
          <w:tblCellMar>
            <w:top w:w="15" w:type="dxa"/>
            <w:left w:w="15" w:type="dxa"/>
            <w:bottom w:w="15" w:type="dxa"/>
            <w:right w:w="15" w:type="dxa"/>
          </w:tblCellMar>
        </w:tblPrEx>
        <w:trPr>
          <w:jc w:val="center"/>
        </w:trPr>
        <w:tc>
          <w:tcPr>
            <w:tcW w:w="3021"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pPr>
            <w:r>
              <w:rPr>
                <w:rFonts w:hint="eastAsia" w:ascii="微软雅黑" w:hAnsi="微软雅黑" w:eastAsia="微软雅黑" w:cs="微软雅黑"/>
                <w:color w:val="333333"/>
                <w:sz w:val="21"/>
                <w:szCs w:val="21"/>
              </w:rPr>
              <w:t>　　水　泥</w:t>
            </w:r>
          </w:p>
        </w:tc>
        <w:tc>
          <w:tcPr>
            <w:tcW w:w="2132"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center"/>
            </w:pPr>
            <w:r>
              <w:rPr>
                <w:rFonts w:hint="eastAsia" w:ascii="微软雅黑" w:hAnsi="微软雅黑" w:eastAsia="微软雅黑" w:cs="微软雅黑"/>
                <w:color w:val="333333"/>
                <w:sz w:val="21"/>
                <w:szCs w:val="21"/>
              </w:rPr>
              <w:t>　　万　吨</w:t>
            </w:r>
          </w:p>
        </w:tc>
        <w:tc>
          <w:tcPr>
            <w:tcW w:w="1783"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right"/>
            </w:pPr>
            <w:r>
              <w:rPr>
                <w:rFonts w:hint="eastAsia" w:ascii="微软雅黑" w:hAnsi="微软雅黑" w:eastAsia="微软雅黑" w:cs="微软雅黑"/>
                <w:color w:val="333333"/>
                <w:sz w:val="21"/>
                <w:szCs w:val="21"/>
              </w:rPr>
              <w:t>　　11586.7</w:t>
            </w:r>
          </w:p>
        </w:tc>
        <w:tc>
          <w:tcPr>
            <w:tcW w:w="1518"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right"/>
            </w:pPr>
            <w:r>
              <w:rPr>
                <w:rFonts w:hint="eastAsia" w:ascii="微软雅黑" w:hAnsi="微软雅黑" w:eastAsia="微软雅黑" w:cs="微软雅黑"/>
                <w:color w:val="333333"/>
                <w:sz w:val="21"/>
                <w:szCs w:val="21"/>
              </w:rPr>
              <w:t>　　2.7</w:t>
            </w:r>
          </w:p>
        </w:tc>
      </w:tr>
      <w:tr>
        <w:tblPrEx>
          <w:tblBorders>
            <w:top w:val="outset" w:color="333333" w:sz="6" w:space="0"/>
            <w:left w:val="outset" w:color="333333" w:sz="6" w:space="0"/>
            <w:bottom w:val="outset" w:color="333333" w:sz="6" w:space="0"/>
            <w:right w:val="outset" w:color="333333" w:sz="6" w:space="0"/>
            <w:insideH w:val="outset" w:color="333333" w:sz="6" w:space="0"/>
            <w:insideV w:val="outset" w:color="333333" w:sz="6" w:space="0"/>
          </w:tblBorders>
          <w:tblLayout w:type="fixed"/>
          <w:tblCellMar>
            <w:top w:w="15" w:type="dxa"/>
            <w:left w:w="15" w:type="dxa"/>
            <w:bottom w:w="15" w:type="dxa"/>
            <w:right w:w="15" w:type="dxa"/>
          </w:tblCellMar>
        </w:tblPrEx>
        <w:trPr>
          <w:jc w:val="center"/>
        </w:trPr>
        <w:tc>
          <w:tcPr>
            <w:tcW w:w="3021"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pPr>
            <w:r>
              <w:rPr>
                <w:rFonts w:hint="eastAsia" w:ascii="微软雅黑" w:hAnsi="微软雅黑" w:eastAsia="微软雅黑" w:cs="微软雅黑"/>
                <w:color w:val="333333"/>
                <w:sz w:val="21"/>
                <w:szCs w:val="21"/>
              </w:rPr>
              <w:t>　　硫　酸</w:t>
            </w:r>
          </w:p>
        </w:tc>
        <w:tc>
          <w:tcPr>
            <w:tcW w:w="2132"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center"/>
            </w:pPr>
            <w:r>
              <w:rPr>
                <w:rFonts w:hint="eastAsia" w:ascii="微软雅黑" w:hAnsi="微软雅黑" w:eastAsia="微软雅黑" w:cs="微软雅黑"/>
                <w:color w:val="333333"/>
                <w:sz w:val="21"/>
                <w:szCs w:val="21"/>
              </w:rPr>
              <w:t>　　万　吨</w:t>
            </w:r>
          </w:p>
        </w:tc>
        <w:tc>
          <w:tcPr>
            <w:tcW w:w="1783"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right"/>
            </w:pPr>
            <w:r>
              <w:rPr>
                <w:rFonts w:hint="eastAsia" w:ascii="微软雅黑" w:hAnsi="微软雅黑" w:eastAsia="微软雅黑" w:cs="微软雅黑"/>
                <w:color w:val="333333"/>
                <w:sz w:val="21"/>
                <w:szCs w:val="21"/>
              </w:rPr>
              <w:t>　　742.7</w:t>
            </w:r>
          </w:p>
        </w:tc>
        <w:tc>
          <w:tcPr>
            <w:tcW w:w="1518"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right"/>
            </w:pPr>
            <w:r>
              <w:rPr>
                <w:rFonts w:hint="eastAsia" w:ascii="微软雅黑" w:hAnsi="微软雅黑" w:eastAsia="微软雅黑" w:cs="微软雅黑"/>
                <w:color w:val="333333"/>
                <w:sz w:val="21"/>
                <w:szCs w:val="21"/>
              </w:rPr>
              <w:t>　　-4.7</w:t>
            </w:r>
          </w:p>
        </w:tc>
      </w:tr>
      <w:tr>
        <w:tblPrEx>
          <w:tblBorders>
            <w:top w:val="outset" w:color="333333" w:sz="6" w:space="0"/>
            <w:left w:val="outset" w:color="333333" w:sz="6" w:space="0"/>
            <w:bottom w:val="outset" w:color="333333" w:sz="6" w:space="0"/>
            <w:right w:val="outset" w:color="333333" w:sz="6" w:space="0"/>
            <w:insideH w:val="outset" w:color="333333" w:sz="6" w:space="0"/>
            <w:insideV w:val="outset" w:color="333333" w:sz="6" w:space="0"/>
          </w:tblBorders>
          <w:tblLayout w:type="fixed"/>
          <w:tblCellMar>
            <w:top w:w="15" w:type="dxa"/>
            <w:left w:w="15" w:type="dxa"/>
            <w:bottom w:w="15" w:type="dxa"/>
            <w:right w:w="15" w:type="dxa"/>
          </w:tblCellMar>
        </w:tblPrEx>
        <w:trPr>
          <w:jc w:val="center"/>
        </w:trPr>
        <w:tc>
          <w:tcPr>
            <w:tcW w:w="3021"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pPr>
            <w:r>
              <w:rPr>
                <w:rFonts w:hint="eastAsia" w:ascii="微软雅黑" w:hAnsi="微软雅黑" w:eastAsia="微软雅黑" w:cs="微软雅黑"/>
                <w:color w:val="333333"/>
                <w:sz w:val="21"/>
                <w:szCs w:val="21"/>
              </w:rPr>
              <w:t>　　纯　碱</w:t>
            </w:r>
          </w:p>
        </w:tc>
        <w:tc>
          <w:tcPr>
            <w:tcW w:w="2132"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center"/>
            </w:pPr>
            <w:r>
              <w:rPr>
                <w:rFonts w:hint="eastAsia" w:ascii="微软雅黑" w:hAnsi="微软雅黑" w:eastAsia="微软雅黑" w:cs="微软雅黑"/>
                <w:color w:val="333333"/>
                <w:sz w:val="21"/>
                <w:szCs w:val="21"/>
              </w:rPr>
              <w:t>　　万　吨</w:t>
            </w:r>
          </w:p>
        </w:tc>
        <w:tc>
          <w:tcPr>
            <w:tcW w:w="1783"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right"/>
            </w:pPr>
            <w:r>
              <w:rPr>
                <w:rFonts w:hint="eastAsia" w:ascii="微软雅黑" w:hAnsi="微软雅黑" w:eastAsia="微软雅黑" w:cs="微软雅黑"/>
                <w:color w:val="333333"/>
                <w:sz w:val="21"/>
                <w:szCs w:val="21"/>
              </w:rPr>
              <w:t>　　164.8</w:t>
            </w:r>
          </w:p>
        </w:tc>
        <w:tc>
          <w:tcPr>
            <w:tcW w:w="1518"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right"/>
            </w:pPr>
            <w:r>
              <w:rPr>
                <w:rFonts w:hint="eastAsia" w:ascii="微软雅黑" w:hAnsi="微软雅黑" w:eastAsia="微软雅黑" w:cs="微软雅黑"/>
                <w:color w:val="333333"/>
                <w:sz w:val="21"/>
                <w:szCs w:val="21"/>
              </w:rPr>
              <w:t>　　3.3</w:t>
            </w:r>
          </w:p>
        </w:tc>
      </w:tr>
      <w:tr>
        <w:tblPrEx>
          <w:tblBorders>
            <w:top w:val="outset" w:color="333333" w:sz="6" w:space="0"/>
            <w:left w:val="outset" w:color="333333" w:sz="6" w:space="0"/>
            <w:bottom w:val="outset" w:color="333333" w:sz="6" w:space="0"/>
            <w:right w:val="outset" w:color="333333" w:sz="6" w:space="0"/>
            <w:insideH w:val="outset" w:color="333333" w:sz="6" w:space="0"/>
            <w:insideV w:val="outset" w:color="333333" w:sz="6" w:space="0"/>
          </w:tblBorders>
          <w:tblLayout w:type="fixed"/>
          <w:tblCellMar>
            <w:top w:w="15" w:type="dxa"/>
            <w:left w:w="15" w:type="dxa"/>
            <w:bottom w:w="15" w:type="dxa"/>
            <w:right w:w="15" w:type="dxa"/>
          </w:tblCellMar>
        </w:tblPrEx>
        <w:trPr>
          <w:jc w:val="center"/>
        </w:trPr>
        <w:tc>
          <w:tcPr>
            <w:tcW w:w="3021"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pPr>
            <w:r>
              <w:rPr>
                <w:rFonts w:hint="eastAsia" w:ascii="微软雅黑" w:hAnsi="微软雅黑" w:eastAsia="微软雅黑" w:cs="微软雅黑"/>
                <w:color w:val="333333"/>
                <w:sz w:val="21"/>
                <w:szCs w:val="21"/>
              </w:rPr>
              <w:t>　　烧　碱</w:t>
            </w:r>
          </w:p>
        </w:tc>
        <w:tc>
          <w:tcPr>
            <w:tcW w:w="2132"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center"/>
            </w:pPr>
            <w:r>
              <w:rPr>
                <w:rFonts w:hint="eastAsia" w:ascii="微软雅黑" w:hAnsi="微软雅黑" w:eastAsia="微软雅黑" w:cs="微软雅黑"/>
                <w:color w:val="333333"/>
                <w:sz w:val="21"/>
                <w:szCs w:val="21"/>
              </w:rPr>
              <w:t>　　万　吨</w:t>
            </w:r>
          </w:p>
        </w:tc>
        <w:tc>
          <w:tcPr>
            <w:tcW w:w="1783"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right"/>
            </w:pPr>
            <w:r>
              <w:rPr>
                <w:rFonts w:hint="eastAsia" w:ascii="微软雅黑" w:hAnsi="微软雅黑" w:eastAsia="微软雅黑" w:cs="微软雅黑"/>
                <w:color w:val="333333"/>
                <w:sz w:val="21"/>
                <w:szCs w:val="21"/>
              </w:rPr>
              <w:t>　　108.9</w:t>
            </w:r>
          </w:p>
        </w:tc>
        <w:tc>
          <w:tcPr>
            <w:tcW w:w="1518"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right"/>
            </w:pPr>
            <w:r>
              <w:rPr>
                <w:rFonts w:hint="eastAsia" w:ascii="微软雅黑" w:hAnsi="微软雅黑" w:eastAsia="微软雅黑" w:cs="微软雅黑"/>
                <w:color w:val="333333"/>
                <w:sz w:val="21"/>
                <w:szCs w:val="21"/>
              </w:rPr>
              <w:t>　　6.9</w:t>
            </w:r>
          </w:p>
        </w:tc>
      </w:tr>
      <w:tr>
        <w:tblPrEx>
          <w:tblBorders>
            <w:top w:val="outset" w:color="333333" w:sz="6" w:space="0"/>
            <w:left w:val="outset" w:color="333333" w:sz="6" w:space="0"/>
            <w:bottom w:val="outset" w:color="333333" w:sz="6" w:space="0"/>
            <w:right w:val="outset" w:color="333333" w:sz="6" w:space="0"/>
            <w:insideH w:val="outset" w:color="333333" w:sz="6" w:space="0"/>
            <w:insideV w:val="outset" w:color="333333" w:sz="6" w:space="0"/>
          </w:tblBorders>
          <w:tblLayout w:type="fixed"/>
          <w:tblCellMar>
            <w:top w:w="15" w:type="dxa"/>
            <w:left w:w="15" w:type="dxa"/>
            <w:bottom w:w="15" w:type="dxa"/>
            <w:right w:w="15" w:type="dxa"/>
          </w:tblCellMar>
        </w:tblPrEx>
        <w:trPr>
          <w:jc w:val="center"/>
        </w:trPr>
        <w:tc>
          <w:tcPr>
            <w:tcW w:w="3021"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pPr>
            <w:r>
              <w:rPr>
                <w:rFonts w:hint="eastAsia" w:ascii="微软雅黑" w:hAnsi="微软雅黑" w:eastAsia="微软雅黑" w:cs="微软雅黑"/>
                <w:color w:val="333333"/>
                <w:sz w:val="21"/>
                <w:szCs w:val="21"/>
              </w:rPr>
              <w:t>　　化肥(折100%)</w:t>
            </w:r>
          </w:p>
        </w:tc>
        <w:tc>
          <w:tcPr>
            <w:tcW w:w="2132"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center"/>
            </w:pPr>
            <w:r>
              <w:rPr>
                <w:rFonts w:hint="eastAsia" w:ascii="微软雅黑" w:hAnsi="微软雅黑" w:eastAsia="微软雅黑" w:cs="微软雅黑"/>
                <w:color w:val="333333"/>
                <w:sz w:val="21"/>
                <w:szCs w:val="21"/>
              </w:rPr>
              <w:t>　　万　吨</w:t>
            </w:r>
          </w:p>
        </w:tc>
        <w:tc>
          <w:tcPr>
            <w:tcW w:w="1783"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right"/>
            </w:pPr>
            <w:r>
              <w:rPr>
                <w:rFonts w:hint="eastAsia" w:ascii="微软雅黑" w:hAnsi="微软雅黑" w:eastAsia="微软雅黑" w:cs="微软雅黑"/>
                <w:color w:val="333333"/>
                <w:sz w:val="21"/>
                <w:szCs w:val="21"/>
              </w:rPr>
              <w:t>　　1156.1</w:t>
            </w:r>
          </w:p>
        </w:tc>
        <w:tc>
          <w:tcPr>
            <w:tcW w:w="1518"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right"/>
            </w:pPr>
            <w:r>
              <w:rPr>
                <w:rFonts w:hint="eastAsia" w:ascii="微软雅黑" w:hAnsi="微软雅黑" w:eastAsia="微软雅黑" w:cs="微软雅黑"/>
                <w:color w:val="333333"/>
                <w:sz w:val="21"/>
                <w:szCs w:val="21"/>
              </w:rPr>
              <w:t>　　-0.1</w:t>
            </w:r>
          </w:p>
        </w:tc>
      </w:tr>
      <w:tr>
        <w:tblPrEx>
          <w:tblBorders>
            <w:top w:val="outset" w:color="333333" w:sz="6" w:space="0"/>
            <w:left w:val="outset" w:color="333333" w:sz="6" w:space="0"/>
            <w:bottom w:val="outset" w:color="333333" w:sz="6" w:space="0"/>
            <w:right w:val="outset" w:color="333333" w:sz="6" w:space="0"/>
            <w:insideH w:val="outset" w:color="333333" w:sz="6" w:space="0"/>
            <w:insideV w:val="outset" w:color="333333" w:sz="6" w:space="0"/>
          </w:tblBorders>
          <w:tblLayout w:type="fixed"/>
          <w:tblCellMar>
            <w:top w:w="15" w:type="dxa"/>
            <w:left w:w="15" w:type="dxa"/>
            <w:bottom w:w="15" w:type="dxa"/>
            <w:right w:w="15" w:type="dxa"/>
          </w:tblCellMar>
        </w:tblPrEx>
        <w:trPr>
          <w:jc w:val="center"/>
        </w:trPr>
        <w:tc>
          <w:tcPr>
            <w:tcW w:w="3021"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pPr>
            <w:r>
              <w:rPr>
                <w:rFonts w:hint="eastAsia" w:ascii="微软雅黑" w:hAnsi="微软雅黑" w:eastAsia="微软雅黑" w:cs="微软雅黑"/>
                <w:color w:val="333333"/>
                <w:sz w:val="21"/>
                <w:szCs w:val="21"/>
              </w:rPr>
              <w:t>　　发电设备</w:t>
            </w:r>
          </w:p>
        </w:tc>
        <w:tc>
          <w:tcPr>
            <w:tcW w:w="2132"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center"/>
            </w:pPr>
            <w:r>
              <w:rPr>
                <w:rFonts w:hint="eastAsia" w:ascii="微软雅黑" w:hAnsi="微软雅黑" w:eastAsia="微软雅黑" w:cs="微软雅黑"/>
                <w:color w:val="333333"/>
                <w:sz w:val="21"/>
                <w:szCs w:val="21"/>
              </w:rPr>
              <w:t>　　万千瓦</w:t>
            </w:r>
          </w:p>
        </w:tc>
        <w:tc>
          <w:tcPr>
            <w:tcW w:w="1783"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right"/>
            </w:pPr>
            <w:r>
              <w:rPr>
                <w:rFonts w:hint="eastAsia" w:ascii="微软雅黑" w:hAnsi="微软雅黑" w:eastAsia="微软雅黑" w:cs="微软雅黑"/>
                <w:color w:val="333333"/>
                <w:sz w:val="21"/>
                <w:szCs w:val="21"/>
              </w:rPr>
              <w:t>　　68.0</w:t>
            </w:r>
          </w:p>
        </w:tc>
        <w:tc>
          <w:tcPr>
            <w:tcW w:w="1518"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right"/>
            </w:pPr>
            <w:r>
              <w:rPr>
                <w:rFonts w:hint="eastAsia" w:ascii="微软雅黑" w:hAnsi="微软雅黑" w:eastAsia="微软雅黑" w:cs="微软雅黑"/>
                <w:color w:val="333333"/>
                <w:sz w:val="21"/>
                <w:szCs w:val="21"/>
              </w:rPr>
              <w:t>　　-43.2</w:t>
            </w:r>
          </w:p>
        </w:tc>
      </w:tr>
      <w:tr>
        <w:tblPrEx>
          <w:tblBorders>
            <w:top w:val="outset" w:color="333333" w:sz="6" w:space="0"/>
            <w:left w:val="outset" w:color="333333" w:sz="6" w:space="0"/>
            <w:bottom w:val="outset" w:color="333333" w:sz="6" w:space="0"/>
            <w:right w:val="outset" w:color="333333" w:sz="6" w:space="0"/>
            <w:insideH w:val="outset" w:color="333333" w:sz="6" w:space="0"/>
            <w:insideV w:val="outset" w:color="333333" w:sz="6" w:space="0"/>
          </w:tblBorders>
          <w:tblLayout w:type="fixed"/>
          <w:tblCellMar>
            <w:top w:w="15" w:type="dxa"/>
            <w:left w:w="15" w:type="dxa"/>
            <w:bottom w:w="15" w:type="dxa"/>
            <w:right w:w="15" w:type="dxa"/>
          </w:tblCellMar>
        </w:tblPrEx>
        <w:trPr>
          <w:jc w:val="center"/>
        </w:trPr>
        <w:tc>
          <w:tcPr>
            <w:tcW w:w="3021"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pPr>
            <w:r>
              <w:rPr>
                <w:rFonts w:hint="eastAsia" w:ascii="微软雅黑" w:hAnsi="微软雅黑" w:eastAsia="微软雅黑" w:cs="微软雅黑"/>
                <w:color w:val="333333"/>
                <w:sz w:val="21"/>
                <w:szCs w:val="21"/>
              </w:rPr>
              <w:t>　　汽　车</w:t>
            </w:r>
          </w:p>
        </w:tc>
        <w:tc>
          <w:tcPr>
            <w:tcW w:w="2132"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center"/>
            </w:pPr>
            <w:r>
              <w:rPr>
                <w:rFonts w:hint="eastAsia" w:ascii="微软雅黑" w:hAnsi="微软雅黑" w:eastAsia="微软雅黑" w:cs="微软雅黑"/>
                <w:color w:val="333333"/>
                <w:sz w:val="21"/>
                <w:szCs w:val="21"/>
              </w:rPr>
              <w:t>　　万　辆</w:t>
            </w:r>
          </w:p>
        </w:tc>
        <w:tc>
          <w:tcPr>
            <w:tcW w:w="1783"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right"/>
            </w:pPr>
            <w:r>
              <w:rPr>
                <w:rFonts w:hint="eastAsia" w:ascii="微软雅黑" w:hAnsi="微软雅黑" w:eastAsia="微软雅黑" w:cs="微软雅黑"/>
                <w:color w:val="333333"/>
                <w:sz w:val="21"/>
                <w:szCs w:val="21"/>
              </w:rPr>
              <w:t>　　243.7</w:t>
            </w:r>
          </w:p>
        </w:tc>
        <w:tc>
          <w:tcPr>
            <w:tcW w:w="1518"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right"/>
            </w:pPr>
            <w:r>
              <w:rPr>
                <w:rFonts w:hint="eastAsia" w:ascii="微软雅黑" w:hAnsi="微软雅黑" w:eastAsia="微软雅黑" w:cs="微软雅黑"/>
                <w:color w:val="333333"/>
                <w:sz w:val="21"/>
                <w:szCs w:val="21"/>
              </w:rPr>
              <w:t>　　24.5</w:t>
            </w:r>
          </w:p>
        </w:tc>
      </w:tr>
      <w:tr>
        <w:tblPrEx>
          <w:tblBorders>
            <w:top w:val="outset" w:color="333333" w:sz="6" w:space="0"/>
            <w:left w:val="outset" w:color="333333" w:sz="6" w:space="0"/>
            <w:bottom w:val="outset" w:color="333333" w:sz="6" w:space="0"/>
            <w:right w:val="outset" w:color="333333" w:sz="6" w:space="0"/>
            <w:insideH w:val="outset" w:color="333333" w:sz="6" w:space="0"/>
            <w:insideV w:val="outset" w:color="333333" w:sz="6" w:space="0"/>
          </w:tblBorders>
          <w:tblLayout w:type="fixed"/>
          <w:tblCellMar>
            <w:top w:w="15" w:type="dxa"/>
            <w:left w:w="15" w:type="dxa"/>
            <w:bottom w:w="15" w:type="dxa"/>
            <w:right w:w="15" w:type="dxa"/>
          </w:tblCellMar>
        </w:tblPrEx>
        <w:trPr>
          <w:jc w:val="center"/>
        </w:trPr>
        <w:tc>
          <w:tcPr>
            <w:tcW w:w="3021"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pPr>
            <w:r>
              <w:rPr>
                <w:rFonts w:hint="eastAsia" w:ascii="微软雅黑" w:hAnsi="微软雅黑" w:eastAsia="微软雅黑" w:cs="微软雅黑"/>
                <w:color w:val="333333"/>
                <w:sz w:val="21"/>
                <w:szCs w:val="21"/>
              </w:rPr>
              <w:t>　　#轿车</w:t>
            </w:r>
          </w:p>
        </w:tc>
        <w:tc>
          <w:tcPr>
            <w:tcW w:w="2132"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center"/>
            </w:pPr>
            <w:r>
              <w:rPr>
                <w:rFonts w:hint="eastAsia" w:ascii="微软雅黑" w:hAnsi="微软雅黑" w:eastAsia="微软雅黑" w:cs="微软雅黑"/>
                <w:color w:val="333333"/>
                <w:sz w:val="21"/>
                <w:szCs w:val="21"/>
              </w:rPr>
              <w:t>　　万　辆</w:t>
            </w:r>
          </w:p>
        </w:tc>
        <w:tc>
          <w:tcPr>
            <w:tcW w:w="1783"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right"/>
            </w:pPr>
            <w:r>
              <w:rPr>
                <w:rFonts w:hint="eastAsia" w:ascii="微软雅黑" w:hAnsi="微软雅黑" w:eastAsia="微软雅黑" w:cs="微软雅黑"/>
                <w:color w:val="333333"/>
                <w:sz w:val="21"/>
                <w:szCs w:val="21"/>
              </w:rPr>
              <w:t>　　106.6</w:t>
            </w:r>
          </w:p>
        </w:tc>
        <w:tc>
          <w:tcPr>
            <w:tcW w:w="1518"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right"/>
            </w:pPr>
            <w:r>
              <w:rPr>
                <w:rFonts w:hint="eastAsia" w:ascii="微软雅黑" w:hAnsi="微软雅黑" w:eastAsia="微软雅黑" w:cs="微软雅黑"/>
                <w:color w:val="333333"/>
                <w:sz w:val="21"/>
                <w:szCs w:val="21"/>
              </w:rPr>
              <w:t>　　25.4</w:t>
            </w:r>
          </w:p>
        </w:tc>
      </w:tr>
      <w:tr>
        <w:tblPrEx>
          <w:tblBorders>
            <w:top w:val="outset" w:color="333333" w:sz="6" w:space="0"/>
            <w:left w:val="outset" w:color="333333" w:sz="6" w:space="0"/>
            <w:bottom w:val="outset" w:color="333333" w:sz="6" w:space="0"/>
            <w:right w:val="outset" w:color="333333" w:sz="6" w:space="0"/>
            <w:insideH w:val="outset" w:color="333333" w:sz="6" w:space="0"/>
            <w:insideV w:val="outset" w:color="333333" w:sz="6" w:space="0"/>
          </w:tblBorders>
          <w:tblLayout w:type="fixed"/>
          <w:tblCellMar>
            <w:top w:w="15" w:type="dxa"/>
            <w:left w:w="15" w:type="dxa"/>
            <w:bottom w:w="15" w:type="dxa"/>
            <w:right w:w="15" w:type="dxa"/>
          </w:tblCellMar>
        </w:tblPrEx>
        <w:trPr>
          <w:jc w:val="center"/>
        </w:trPr>
        <w:tc>
          <w:tcPr>
            <w:tcW w:w="3021"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pPr>
            <w:r>
              <w:rPr>
                <w:rFonts w:hint="eastAsia" w:ascii="微软雅黑" w:hAnsi="微软雅黑" w:eastAsia="微软雅黑" w:cs="微软雅黑"/>
                <w:color w:val="333333"/>
                <w:sz w:val="21"/>
                <w:szCs w:val="21"/>
              </w:rPr>
              <w:t>　　移动通信手持机</w:t>
            </w:r>
          </w:p>
        </w:tc>
        <w:tc>
          <w:tcPr>
            <w:tcW w:w="2132"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center"/>
            </w:pPr>
            <w:r>
              <w:rPr>
                <w:rFonts w:hint="eastAsia" w:ascii="微软雅黑" w:hAnsi="微软雅黑" w:eastAsia="微软雅黑" w:cs="微软雅黑"/>
                <w:color w:val="333333"/>
                <w:sz w:val="21"/>
                <w:szCs w:val="21"/>
              </w:rPr>
              <w:t>　　万　台</w:t>
            </w:r>
          </w:p>
        </w:tc>
        <w:tc>
          <w:tcPr>
            <w:tcW w:w="1783"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right"/>
            </w:pPr>
            <w:r>
              <w:rPr>
                <w:rFonts w:hint="eastAsia" w:ascii="微软雅黑" w:hAnsi="微软雅黑" w:eastAsia="微软雅黑" w:cs="微软雅黑"/>
                <w:color w:val="333333"/>
                <w:sz w:val="21"/>
                <w:szCs w:val="21"/>
              </w:rPr>
              <w:t>　　6220.7</w:t>
            </w:r>
          </w:p>
        </w:tc>
        <w:tc>
          <w:tcPr>
            <w:tcW w:w="1518" w:type="dxa"/>
            <w:tcBorders>
              <w:top w:val="single" w:color="CCCCCC" w:sz="6" w:space="0"/>
              <w:left w:val="single" w:color="CCCCCC" w:sz="6" w:space="0"/>
              <w:bottom w:val="single" w:color="CCCCCC" w:sz="6" w:space="0"/>
              <w:right w:val="single" w:color="CCCCCC" w:sz="6" w:space="0"/>
            </w:tcBorders>
            <w:shd w:val="clear"/>
            <w:tcMar>
              <w:top w:w="75" w:type="dxa"/>
              <w:left w:w="75" w:type="dxa"/>
              <w:bottom w:w="75" w:type="dxa"/>
              <w:right w:w="75" w:type="dxa"/>
            </w:tcMar>
            <w:vAlign w:val="center"/>
          </w:tcPr>
          <w:p>
            <w:pPr>
              <w:pStyle w:val="3"/>
              <w:keepNext w:val="0"/>
              <w:keepLines w:val="0"/>
              <w:widowControl/>
              <w:suppressLineNumbers w:val="0"/>
              <w:spacing w:after="210" w:afterAutospacing="0" w:line="300" w:lineRule="atLeast"/>
              <w:jc w:val="right"/>
            </w:pPr>
            <w:r>
              <w:rPr>
                <w:rFonts w:hint="eastAsia" w:ascii="微软雅黑" w:hAnsi="微软雅黑" w:eastAsia="微软雅黑" w:cs="微软雅黑"/>
                <w:color w:val="333333"/>
                <w:sz w:val="21"/>
                <w:szCs w:val="21"/>
              </w:rPr>
              <w:t>　　13.6</w:t>
            </w:r>
          </w:p>
        </w:tc>
      </w:tr>
    </w:tbl>
    <w:p>
      <w:pPr>
        <w:pStyle w:val="3"/>
        <w:keepNext w:val="0"/>
        <w:keepLines w:val="0"/>
        <w:widowControl/>
        <w:suppressLineNumbers w:val="0"/>
        <w:spacing w:before="0" w:beforeAutospacing="0" w:after="210" w:afterAutospacing="0" w:line="525" w:lineRule="atLeast"/>
        <w:ind w:left="826" w:right="826"/>
      </w:pPr>
      <w:r>
        <w:rPr>
          <w:sz w:val="24"/>
          <w:szCs w:val="24"/>
          <w:shd w:val="clear" w:fill="FFFFFF"/>
        </w:rPr>
        <w:t>　　建筑业发展步伐加快。全年全省资质以内建筑企业完成施工产值11862.40亿元，增长12.0%；实现利润509.65亿元，增长7.8%。新开工房屋建筑施工面积32702.23万平方米，增长4.3%。</w:t>
      </w:r>
    </w:p>
    <w:p>
      <w:pPr>
        <w:pStyle w:val="3"/>
        <w:keepNext w:val="0"/>
        <w:keepLines w:val="0"/>
        <w:widowControl/>
        <w:suppressLineNumbers w:val="0"/>
        <w:spacing w:before="0" w:beforeAutospacing="0" w:after="210" w:afterAutospacing="0" w:line="525" w:lineRule="atLeast"/>
        <w:ind w:left="826" w:right="826"/>
      </w:pPr>
      <w:r>
        <w:rPr>
          <w:sz w:val="24"/>
          <w:szCs w:val="24"/>
          <w:shd w:val="clear" w:fill="FFFFFF"/>
        </w:rPr>
        <w:t>　　</w:t>
      </w:r>
      <w:r>
        <w:rPr>
          <w:rStyle w:val="5"/>
          <w:sz w:val="24"/>
          <w:szCs w:val="24"/>
          <w:shd w:val="clear" w:fill="FFFFFF"/>
        </w:rPr>
        <w:t>四、固定资产投资</w:t>
      </w:r>
    </w:p>
    <w:p>
      <w:pPr>
        <w:pStyle w:val="3"/>
        <w:keepNext w:val="0"/>
        <w:keepLines w:val="0"/>
        <w:widowControl/>
        <w:suppressLineNumbers w:val="0"/>
        <w:spacing w:before="0" w:beforeAutospacing="0" w:after="210" w:afterAutospacing="0" w:line="525" w:lineRule="atLeast"/>
        <w:ind w:left="826" w:right="826"/>
      </w:pPr>
      <w:r>
        <w:rPr>
          <w:sz w:val="24"/>
          <w:szCs w:val="24"/>
          <w:shd w:val="clear" w:fill="FFFFFF"/>
        </w:rPr>
        <w:t>　　全省完成固定资产投资(不含农户)29503.88亿元，增长13.1%，其中房地产开发投资完成4296.38亿元，增长1.1%。商品房销售面积7427.16万平方米，增长18.9%，实现商品房销售额4994.05亿元，增长36.4%。按产业划分，全省一、二、三次产业投资分别为889.94亿元、12224.54亿元和16389.40亿元，分别增长41.8%、10.1%、14.2%。全省292个在建重点建设项目全年完成投资2702.86亿元，占固定资产投资的比重为9.2%。</w:t>
      </w:r>
    </w:p>
    <w:p>
      <w:pPr>
        <w:pStyle w:val="3"/>
        <w:keepNext w:val="0"/>
        <w:keepLines w:val="0"/>
        <w:widowControl/>
        <w:suppressLineNumbers w:val="0"/>
        <w:spacing w:before="0" w:beforeAutospacing="0" w:after="210" w:afterAutospacing="0" w:line="525" w:lineRule="atLeast"/>
        <w:ind w:left="826" w:right="826"/>
        <w:jc w:val="center"/>
      </w:pPr>
      <w:r>
        <w:rPr>
          <w:sz w:val="24"/>
          <w:szCs w:val="24"/>
          <w:shd w:val="clear" w:fill="FFFFFF"/>
        </w:rPr>
        <w:t>　　</w:t>
      </w:r>
      <w:r>
        <w:rPr>
          <w:sz w:val="24"/>
          <w:szCs w:val="24"/>
          <w:bdr w:val="none" w:color="auto" w:sz="0" w:space="0"/>
          <w:shd w:val="clear" w:fill="FFFFFF"/>
        </w:rPr>
        <w:fldChar w:fldCharType="begin"/>
      </w:r>
      <w:r>
        <w:rPr>
          <w:sz w:val="24"/>
          <w:szCs w:val="24"/>
          <w:bdr w:val="none" w:color="auto" w:sz="0" w:space="0"/>
          <w:shd w:val="clear" w:fill="FFFFFF"/>
        </w:rPr>
        <w:instrText xml:space="preserve">INCLUDEPICTURE \d "http://www.stats-hb.gov.cn/CMSwww/201703/201703060921036.png" \* MERGEFORMATINET </w:instrText>
      </w:r>
      <w:r>
        <w:rPr>
          <w:sz w:val="24"/>
          <w:szCs w:val="24"/>
          <w:bdr w:val="none" w:color="auto" w:sz="0" w:space="0"/>
          <w:shd w:val="clear" w:fill="FFFFFF"/>
        </w:rPr>
        <w:fldChar w:fldCharType="separate"/>
      </w:r>
      <w:r>
        <w:rPr>
          <w:sz w:val="24"/>
          <w:szCs w:val="24"/>
          <w:bdr w:val="none" w:color="auto" w:sz="0" w:space="0"/>
          <w:shd w:val="clear" w:fill="FFFFFF"/>
        </w:rPr>
        <w:drawing>
          <wp:inline distT="0" distB="0" distL="114300" distR="114300">
            <wp:extent cx="4676775" cy="3400425"/>
            <wp:effectExtent l="0" t="0" r="9525" b="9525"/>
            <wp:docPr id="10"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 descr="IMG_259"/>
                    <pic:cNvPicPr>
                      <a:picLocks noChangeAspect="1"/>
                    </pic:cNvPicPr>
                  </pic:nvPicPr>
                  <pic:blipFill>
                    <a:blip r:embed="rId7"/>
                    <a:stretch>
                      <a:fillRect/>
                    </a:stretch>
                  </pic:blipFill>
                  <pic:spPr>
                    <a:xfrm>
                      <a:off x="0" y="0"/>
                      <a:ext cx="4676775" cy="3400425"/>
                    </a:xfrm>
                    <a:prstGeom prst="rect">
                      <a:avLst/>
                    </a:prstGeom>
                    <a:noFill/>
                    <a:ln w="9525">
                      <a:noFill/>
                    </a:ln>
                  </pic:spPr>
                </pic:pic>
              </a:graphicData>
            </a:graphic>
          </wp:inline>
        </w:drawing>
      </w:r>
      <w:r>
        <w:rPr>
          <w:sz w:val="24"/>
          <w:szCs w:val="24"/>
          <w:bdr w:val="none" w:color="auto" w:sz="0" w:space="0"/>
          <w:shd w:val="clear" w:fill="FFFFFF"/>
        </w:rPr>
        <w:fldChar w:fldCharType="end"/>
      </w:r>
      <w:r>
        <w:rPr>
          <w:sz w:val="24"/>
          <w:szCs w:val="24"/>
          <w:shd w:val="clear" w:fill="FFFFFF"/>
        </w:rPr>
        <w:t> </w:t>
      </w:r>
    </w:p>
    <w:p>
      <w:pPr>
        <w:pStyle w:val="3"/>
        <w:keepNext w:val="0"/>
        <w:keepLines w:val="0"/>
        <w:widowControl/>
        <w:suppressLineNumbers w:val="0"/>
        <w:spacing w:before="0" w:beforeAutospacing="0" w:after="210" w:afterAutospacing="0" w:line="525" w:lineRule="atLeast"/>
        <w:ind w:left="826" w:right="826"/>
      </w:pPr>
      <w:r>
        <w:rPr>
          <w:sz w:val="24"/>
          <w:szCs w:val="24"/>
          <w:shd w:val="clear" w:fill="FFFFFF"/>
        </w:rPr>
        <w:t>　　全省亿元以上新开工项目3996个，其中：第一、二和三产业亿元以上新开工项目分别为167个、2180个和1649个。亿元以上新开工项目完成投资8785.94亿元，增长27.1%。</w:t>
      </w:r>
    </w:p>
    <w:p>
      <w:pPr>
        <w:pStyle w:val="3"/>
        <w:keepNext w:val="0"/>
        <w:keepLines w:val="0"/>
        <w:widowControl/>
        <w:suppressLineNumbers w:val="0"/>
        <w:spacing w:before="0" w:beforeAutospacing="0" w:after="210" w:afterAutospacing="0" w:line="525" w:lineRule="atLeast"/>
        <w:ind w:left="826" w:right="826"/>
      </w:pPr>
      <w:r>
        <w:rPr>
          <w:sz w:val="24"/>
          <w:szCs w:val="24"/>
          <w:shd w:val="clear" w:fill="FFFFFF"/>
        </w:rPr>
        <w:t>　　</w:t>
      </w:r>
      <w:r>
        <w:rPr>
          <w:rStyle w:val="5"/>
          <w:sz w:val="24"/>
          <w:szCs w:val="24"/>
          <w:shd w:val="clear" w:fill="FFFFFF"/>
        </w:rPr>
        <w:t>五、国内贸易</w:t>
      </w:r>
    </w:p>
    <w:p>
      <w:pPr>
        <w:pStyle w:val="3"/>
        <w:keepNext w:val="0"/>
        <w:keepLines w:val="0"/>
        <w:widowControl/>
        <w:suppressLineNumbers w:val="0"/>
        <w:spacing w:before="0" w:beforeAutospacing="0" w:after="210" w:afterAutospacing="0" w:line="525" w:lineRule="atLeast"/>
        <w:ind w:left="826" w:right="826"/>
      </w:pPr>
      <w:r>
        <w:rPr>
          <w:sz w:val="24"/>
          <w:szCs w:val="24"/>
          <w:shd w:val="clear" w:fill="FFFFFF"/>
        </w:rPr>
        <w:t>　　全年全省实现社会消费品零售总额15649.22亿元，增长11.8%。分城乡看，城镇实现零售额13149.57亿元，增长11.7%；乡村实现零售额2499.65亿元，增长12.2%。其中，限额以上企业（单位）实现消费品零售额8568.81亿元，增长11.0%。</w:t>
      </w:r>
    </w:p>
    <w:p>
      <w:pPr>
        <w:pStyle w:val="3"/>
        <w:keepNext w:val="0"/>
        <w:keepLines w:val="0"/>
        <w:widowControl/>
        <w:suppressLineNumbers w:val="0"/>
        <w:spacing w:before="0" w:beforeAutospacing="0" w:after="210" w:afterAutospacing="0" w:line="525" w:lineRule="atLeast"/>
        <w:ind w:left="826" w:right="826"/>
        <w:jc w:val="center"/>
      </w:pPr>
      <w:r>
        <w:rPr>
          <w:sz w:val="24"/>
          <w:szCs w:val="24"/>
          <w:shd w:val="clear" w:fill="FFFFFF"/>
        </w:rPr>
        <w:t>　　</w:t>
      </w:r>
      <w:r>
        <w:rPr>
          <w:sz w:val="24"/>
          <w:szCs w:val="24"/>
          <w:bdr w:val="none" w:color="auto" w:sz="0" w:space="0"/>
          <w:shd w:val="clear" w:fill="FFFFFF"/>
        </w:rPr>
        <w:fldChar w:fldCharType="begin"/>
      </w:r>
      <w:r>
        <w:rPr>
          <w:sz w:val="24"/>
          <w:szCs w:val="24"/>
          <w:bdr w:val="none" w:color="auto" w:sz="0" w:space="0"/>
          <w:shd w:val="clear" w:fill="FFFFFF"/>
        </w:rPr>
        <w:instrText xml:space="preserve">INCLUDEPICTURE \d "http://www.stats-hb.gov.cn/CMSwww/201703/201703060921050.png" \* MERGEFORMATINET </w:instrText>
      </w:r>
      <w:r>
        <w:rPr>
          <w:sz w:val="24"/>
          <w:szCs w:val="24"/>
          <w:bdr w:val="none" w:color="auto" w:sz="0" w:space="0"/>
          <w:shd w:val="clear" w:fill="FFFFFF"/>
        </w:rPr>
        <w:fldChar w:fldCharType="separate"/>
      </w:r>
      <w:r>
        <w:rPr>
          <w:sz w:val="24"/>
          <w:szCs w:val="24"/>
          <w:bdr w:val="none" w:color="auto" w:sz="0" w:space="0"/>
          <w:shd w:val="clear" w:fill="FFFFFF"/>
        </w:rPr>
        <w:drawing>
          <wp:inline distT="0" distB="0" distL="114300" distR="114300">
            <wp:extent cx="4457700" cy="3095625"/>
            <wp:effectExtent l="0" t="0" r="0" b="9525"/>
            <wp:docPr id="8"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descr="IMG_260"/>
                    <pic:cNvPicPr>
                      <a:picLocks noChangeAspect="1"/>
                    </pic:cNvPicPr>
                  </pic:nvPicPr>
                  <pic:blipFill>
                    <a:blip r:embed="rId8"/>
                    <a:stretch>
                      <a:fillRect/>
                    </a:stretch>
                  </pic:blipFill>
                  <pic:spPr>
                    <a:xfrm>
                      <a:off x="0" y="0"/>
                      <a:ext cx="4457700" cy="3095625"/>
                    </a:xfrm>
                    <a:prstGeom prst="rect">
                      <a:avLst/>
                    </a:prstGeom>
                    <a:noFill/>
                    <a:ln w="9525">
                      <a:noFill/>
                    </a:ln>
                  </pic:spPr>
                </pic:pic>
              </a:graphicData>
            </a:graphic>
          </wp:inline>
        </w:drawing>
      </w:r>
      <w:r>
        <w:rPr>
          <w:sz w:val="24"/>
          <w:szCs w:val="24"/>
          <w:bdr w:val="none" w:color="auto" w:sz="0" w:space="0"/>
          <w:shd w:val="clear" w:fill="FFFFFF"/>
        </w:rPr>
        <w:fldChar w:fldCharType="end"/>
      </w:r>
      <w:r>
        <w:rPr>
          <w:sz w:val="24"/>
          <w:szCs w:val="24"/>
          <w:shd w:val="clear" w:fill="FFFFFF"/>
        </w:rPr>
        <w:t> </w:t>
      </w:r>
    </w:p>
    <w:p>
      <w:pPr>
        <w:pStyle w:val="3"/>
        <w:keepNext w:val="0"/>
        <w:keepLines w:val="0"/>
        <w:widowControl/>
        <w:suppressLineNumbers w:val="0"/>
        <w:spacing w:before="0" w:beforeAutospacing="0" w:after="210" w:afterAutospacing="0" w:line="525" w:lineRule="atLeast"/>
        <w:ind w:left="826" w:right="826"/>
      </w:pPr>
      <w:r>
        <w:rPr>
          <w:sz w:val="24"/>
          <w:szCs w:val="24"/>
          <w:shd w:val="clear" w:fill="FFFFFF"/>
        </w:rPr>
        <w:t>　　2016年，我省网上零售额达到1121.2亿元，比上年增长22.7%，其中实物商品网上零售额827.7亿元，增长28.5%。</w:t>
      </w:r>
    </w:p>
    <w:p>
      <w:pPr>
        <w:pStyle w:val="3"/>
        <w:keepNext w:val="0"/>
        <w:keepLines w:val="0"/>
        <w:widowControl/>
        <w:suppressLineNumbers w:val="0"/>
        <w:spacing w:before="0" w:beforeAutospacing="0" w:after="210" w:afterAutospacing="0" w:line="525" w:lineRule="atLeast"/>
        <w:ind w:left="826" w:right="826"/>
      </w:pPr>
      <w:r>
        <w:rPr>
          <w:sz w:val="24"/>
          <w:szCs w:val="24"/>
          <w:shd w:val="clear" w:fill="FFFFFF"/>
        </w:rPr>
        <w:t>　　</w:t>
      </w:r>
      <w:r>
        <w:rPr>
          <w:rStyle w:val="5"/>
          <w:sz w:val="24"/>
          <w:szCs w:val="24"/>
          <w:shd w:val="clear" w:fill="FFFFFF"/>
        </w:rPr>
        <w:t>六、对外经济</w:t>
      </w:r>
    </w:p>
    <w:p>
      <w:pPr>
        <w:pStyle w:val="3"/>
        <w:keepNext w:val="0"/>
        <w:keepLines w:val="0"/>
        <w:widowControl/>
        <w:suppressLineNumbers w:val="0"/>
        <w:spacing w:before="0" w:beforeAutospacing="0" w:after="210" w:afterAutospacing="0" w:line="525" w:lineRule="atLeast"/>
        <w:ind w:left="826" w:right="826"/>
      </w:pPr>
      <w:r>
        <w:rPr>
          <w:sz w:val="24"/>
          <w:szCs w:val="24"/>
          <w:shd w:val="clear" w:fill="FFFFFF"/>
        </w:rPr>
        <w:t>　　全年全省实现外贸进出口总额2600.1亿元，下降8.3 %，其中：进口880.0亿元，下降13.6%；出口1720.1亿元,下降5.3%。新批外商直接投资项目235个。全年外商直接投资101.29亿美元，增长13.2%。</w:t>
      </w:r>
    </w:p>
    <w:p>
      <w:pPr>
        <w:pStyle w:val="3"/>
        <w:keepNext w:val="0"/>
        <w:keepLines w:val="0"/>
        <w:widowControl/>
        <w:suppressLineNumbers w:val="0"/>
        <w:spacing w:before="0" w:beforeAutospacing="0" w:after="210" w:afterAutospacing="0" w:line="525" w:lineRule="atLeast"/>
        <w:ind w:left="826" w:right="826"/>
      </w:pPr>
      <w:r>
        <w:rPr>
          <w:sz w:val="24"/>
          <w:szCs w:val="24"/>
          <w:shd w:val="clear" w:fill="FFFFFF"/>
        </w:rPr>
        <w:t>　　</w:t>
      </w:r>
      <w:r>
        <w:rPr>
          <w:rStyle w:val="5"/>
          <w:sz w:val="24"/>
          <w:szCs w:val="24"/>
          <w:shd w:val="clear" w:fill="FFFFFF"/>
        </w:rPr>
        <w:t>七、交通运输、邮电通信和旅游</w:t>
      </w:r>
    </w:p>
    <w:p>
      <w:pPr>
        <w:pStyle w:val="3"/>
        <w:keepNext w:val="0"/>
        <w:keepLines w:val="0"/>
        <w:widowControl/>
        <w:suppressLineNumbers w:val="0"/>
        <w:spacing w:before="0" w:beforeAutospacing="0" w:after="210" w:afterAutospacing="0" w:line="525" w:lineRule="atLeast"/>
        <w:ind w:left="826" w:right="826"/>
      </w:pPr>
      <w:r>
        <w:rPr>
          <w:sz w:val="24"/>
          <w:szCs w:val="24"/>
          <w:shd w:val="clear" w:fill="FFFFFF"/>
        </w:rPr>
        <w:t>　　全年全省完成货物周转量6159.90亿吨公里，比上年增长4.3%；旅客周转量1521.05亿人公里，增长2.0%;公路营运里程达260178.84公里，增长2.8%；高速公路里程达6204.29公里，与上年持平。</w:t>
      </w:r>
    </w:p>
    <w:p>
      <w:pPr>
        <w:pStyle w:val="3"/>
        <w:keepNext w:val="0"/>
        <w:keepLines w:val="0"/>
        <w:widowControl/>
        <w:suppressLineNumbers w:val="0"/>
        <w:spacing w:before="0" w:beforeAutospacing="0" w:after="210" w:afterAutospacing="0" w:line="525" w:lineRule="atLeast"/>
        <w:ind w:left="826" w:right="826"/>
      </w:pPr>
      <w:r>
        <w:rPr>
          <w:sz w:val="24"/>
          <w:szCs w:val="24"/>
          <w:shd w:val="clear" w:fill="FFFFFF"/>
        </w:rPr>
        <w:t>　　全省邮电业务总量1400.01亿元，增长44.5%。长途光缆线路总长度达到3.23万公里；局用交换机达到493.8万门；固定电话用户731.65万户；移动电话用户达到4683.75万户；全省电话普及率为92.02部／百人；计算机宽带互联网用户1131.88万户。</w:t>
      </w:r>
    </w:p>
    <w:p>
      <w:pPr>
        <w:pStyle w:val="3"/>
        <w:keepNext w:val="0"/>
        <w:keepLines w:val="0"/>
        <w:widowControl/>
        <w:suppressLineNumbers w:val="0"/>
        <w:spacing w:before="0" w:beforeAutospacing="0" w:after="210" w:afterAutospacing="0" w:line="525" w:lineRule="atLeast"/>
        <w:ind w:left="826" w:right="826"/>
      </w:pPr>
      <w:r>
        <w:rPr>
          <w:sz w:val="24"/>
          <w:szCs w:val="24"/>
          <w:shd w:val="clear" w:fill="FFFFFF"/>
        </w:rPr>
        <w:t>　　全省国内旅游人数5.73亿人次，增长12%；国内旅游收入4870亿元，增长13%。</w:t>
      </w:r>
    </w:p>
    <w:p>
      <w:pPr>
        <w:pStyle w:val="3"/>
        <w:keepNext w:val="0"/>
        <w:keepLines w:val="0"/>
        <w:widowControl/>
        <w:suppressLineNumbers w:val="0"/>
        <w:spacing w:before="0" w:beforeAutospacing="0" w:after="210" w:afterAutospacing="0" w:line="525" w:lineRule="atLeast"/>
        <w:ind w:left="826" w:right="826"/>
      </w:pPr>
      <w:r>
        <w:rPr>
          <w:sz w:val="24"/>
          <w:szCs w:val="24"/>
          <w:shd w:val="clear" w:fill="FFFFFF"/>
        </w:rPr>
        <w:t>　</w:t>
      </w:r>
      <w:r>
        <w:rPr>
          <w:rStyle w:val="5"/>
          <w:sz w:val="24"/>
          <w:szCs w:val="24"/>
          <w:shd w:val="clear" w:fill="FFFFFF"/>
        </w:rPr>
        <w:t>　八、财政和金融</w:t>
      </w:r>
    </w:p>
    <w:p>
      <w:pPr>
        <w:pStyle w:val="3"/>
        <w:keepNext w:val="0"/>
        <w:keepLines w:val="0"/>
        <w:widowControl/>
        <w:suppressLineNumbers w:val="0"/>
        <w:spacing w:before="0" w:beforeAutospacing="0" w:after="210" w:afterAutospacing="0" w:line="525" w:lineRule="atLeast"/>
        <w:ind w:left="826" w:right="826"/>
      </w:pPr>
      <w:r>
        <w:rPr>
          <w:sz w:val="24"/>
          <w:szCs w:val="24"/>
          <w:shd w:val="clear" w:fill="FFFFFF"/>
        </w:rPr>
        <w:t>　　全年全省完成财政总收入4974亿元，增长5.7%，其中地方一般公共预算收入3102.02亿元，增长7.3%。在地方一般公共预算收入中，税收收入2122.89亿元，增长7.7%。全年财政支出6453.07亿元，增长5.0%。</w:t>
      </w:r>
    </w:p>
    <w:p>
      <w:pPr>
        <w:pStyle w:val="3"/>
        <w:keepNext w:val="0"/>
        <w:keepLines w:val="0"/>
        <w:widowControl/>
        <w:suppressLineNumbers w:val="0"/>
        <w:spacing w:before="0" w:beforeAutospacing="0" w:after="210" w:afterAutospacing="0" w:line="525" w:lineRule="atLeast"/>
        <w:ind w:left="826" w:right="826"/>
        <w:jc w:val="center"/>
      </w:pPr>
      <w:r>
        <w:rPr>
          <w:sz w:val="24"/>
          <w:szCs w:val="24"/>
          <w:shd w:val="clear" w:fill="FFFFFF"/>
        </w:rPr>
        <w:t>　　</w:t>
      </w:r>
      <w:r>
        <w:rPr>
          <w:sz w:val="24"/>
          <w:szCs w:val="24"/>
          <w:bdr w:val="none" w:color="auto" w:sz="0" w:space="0"/>
          <w:shd w:val="clear" w:fill="FFFFFF"/>
        </w:rPr>
        <w:fldChar w:fldCharType="begin"/>
      </w:r>
      <w:r>
        <w:rPr>
          <w:sz w:val="24"/>
          <w:szCs w:val="24"/>
          <w:bdr w:val="none" w:color="auto" w:sz="0" w:space="0"/>
          <w:shd w:val="clear" w:fill="FFFFFF"/>
        </w:rPr>
        <w:instrText xml:space="preserve">INCLUDEPICTURE \d "http://www.stats-hb.gov.cn/CMSwww/201703/201703060922003.png" \* MERGEFORMATINET </w:instrText>
      </w:r>
      <w:r>
        <w:rPr>
          <w:sz w:val="24"/>
          <w:szCs w:val="24"/>
          <w:bdr w:val="none" w:color="auto" w:sz="0" w:space="0"/>
          <w:shd w:val="clear" w:fill="FFFFFF"/>
        </w:rPr>
        <w:fldChar w:fldCharType="separate"/>
      </w:r>
      <w:r>
        <w:rPr>
          <w:sz w:val="24"/>
          <w:szCs w:val="24"/>
          <w:bdr w:val="none" w:color="auto" w:sz="0" w:space="0"/>
          <w:shd w:val="clear" w:fill="FFFFFF"/>
        </w:rPr>
        <w:drawing>
          <wp:inline distT="0" distB="0" distL="114300" distR="114300">
            <wp:extent cx="4552950" cy="3429000"/>
            <wp:effectExtent l="0" t="0" r="0" b="0"/>
            <wp:docPr id="7" name="图片 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IMG_261"/>
                    <pic:cNvPicPr>
                      <a:picLocks noChangeAspect="1"/>
                    </pic:cNvPicPr>
                  </pic:nvPicPr>
                  <pic:blipFill>
                    <a:blip r:embed="rId9"/>
                    <a:stretch>
                      <a:fillRect/>
                    </a:stretch>
                  </pic:blipFill>
                  <pic:spPr>
                    <a:xfrm>
                      <a:off x="0" y="0"/>
                      <a:ext cx="4552950" cy="3429000"/>
                    </a:xfrm>
                    <a:prstGeom prst="rect">
                      <a:avLst/>
                    </a:prstGeom>
                    <a:noFill/>
                    <a:ln w="9525">
                      <a:noFill/>
                    </a:ln>
                  </pic:spPr>
                </pic:pic>
              </a:graphicData>
            </a:graphic>
          </wp:inline>
        </w:drawing>
      </w:r>
      <w:r>
        <w:rPr>
          <w:sz w:val="24"/>
          <w:szCs w:val="24"/>
          <w:bdr w:val="none" w:color="auto" w:sz="0" w:space="0"/>
          <w:shd w:val="clear" w:fill="FFFFFF"/>
        </w:rPr>
        <w:fldChar w:fldCharType="end"/>
      </w:r>
      <w:r>
        <w:rPr>
          <w:sz w:val="24"/>
          <w:szCs w:val="24"/>
          <w:shd w:val="clear" w:fill="FFFFFF"/>
        </w:rPr>
        <w:t> </w:t>
      </w:r>
    </w:p>
    <w:p>
      <w:pPr>
        <w:pStyle w:val="3"/>
        <w:keepNext w:val="0"/>
        <w:keepLines w:val="0"/>
        <w:widowControl/>
        <w:suppressLineNumbers w:val="0"/>
        <w:spacing w:before="0" w:beforeAutospacing="0" w:after="210" w:afterAutospacing="0" w:line="525" w:lineRule="atLeast"/>
        <w:ind w:left="826" w:right="826"/>
      </w:pPr>
      <w:r>
        <w:rPr>
          <w:sz w:val="24"/>
          <w:szCs w:val="24"/>
          <w:shd w:val="clear" w:fill="FFFFFF"/>
        </w:rPr>
        <w:t>　　年末全省金融机构本外币各项存款余额47284.95亿元，比年初增加5939.07亿元。其中：住户存款22065.17亿元，增加2385.03亿元。金融机构各项贷款余额34530.72亿元，比年初增加5016.16亿元。其中：住户贷款9339.51亿元，增加1975.52亿元；非金融企业及机关团体贷款24050.61亿元，增加2771.61亿元。</w:t>
      </w:r>
    </w:p>
    <w:p>
      <w:pPr>
        <w:pStyle w:val="3"/>
        <w:keepNext w:val="0"/>
        <w:keepLines w:val="0"/>
        <w:widowControl/>
        <w:suppressLineNumbers w:val="0"/>
        <w:spacing w:before="0" w:beforeAutospacing="0" w:after="210" w:afterAutospacing="0" w:line="525" w:lineRule="atLeast"/>
        <w:ind w:left="826" w:right="826"/>
      </w:pPr>
      <w:r>
        <w:rPr>
          <w:sz w:val="24"/>
          <w:szCs w:val="24"/>
          <w:shd w:val="clear" w:fill="FFFFFF"/>
        </w:rPr>
        <w:t>　　全年实现保费收入1051.77亿元，增长24.67%。其中，财产险公司实现保费收入288.66亿元，增长12.5%；人身险公司实现保费收入763.11亿元，增长29.99%。支付各类赔款及给付372.36亿元，增长31.42%，其中，财产险公司赔款支出156.25亿元，增长22.91%；人身险公司赔付支出216.1亿元，增长38.33%。</w:t>
      </w:r>
    </w:p>
    <w:p>
      <w:pPr>
        <w:pStyle w:val="3"/>
        <w:keepNext w:val="0"/>
        <w:keepLines w:val="0"/>
        <w:widowControl/>
        <w:suppressLineNumbers w:val="0"/>
        <w:spacing w:before="0" w:beforeAutospacing="0" w:after="210" w:afterAutospacing="0" w:line="525" w:lineRule="atLeast"/>
        <w:ind w:left="826" w:right="826"/>
      </w:pPr>
      <w:r>
        <w:rPr>
          <w:sz w:val="24"/>
          <w:szCs w:val="24"/>
          <w:shd w:val="clear" w:fill="FFFFFF"/>
        </w:rPr>
        <w:t>　　</w:t>
      </w:r>
      <w:r>
        <w:rPr>
          <w:rStyle w:val="5"/>
          <w:sz w:val="24"/>
          <w:szCs w:val="24"/>
          <w:shd w:val="clear" w:fill="FFFFFF"/>
        </w:rPr>
        <w:t>九、教育和科学技术</w:t>
      </w:r>
    </w:p>
    <w:p>
      <w:pPr>
        <w:pStyle w:val="3"/>
        <w:keepNext w:val="0"/>
        <w:keepLines w:val="0"/>
        <w:widowControl/>
        <w:suppressLineNumbers w:val="0"/>
        <w:spacing w:before="0" w:beforeAutospacing="0" w:after="210" w:afterAutospacing="0" w:line="525" w:lineRule="atLeast"/>
        <w:ind w:left="826" w:right="826"/>
      </w:pPr>
      <w:r>
        <w:rPr>
          <w:sz w:val="24"/>
          <w:szCs w:val="24"/>
          <w:shd w:val="clear" w:fill="FFFFFF"/>
        </w:rPr>
        <w:t>　　2016年末，全省普通高等教育本专科招生39.83万人，在校生140.18万人，毕业生39.42万人；研究生招生4.08万人，在校研究生12.21万人，毕业生3.55万人；各类中等职业教育招生16.68万人，在校生45.48万人，毕业生13.84万人;普通高中招生27.71万人，在校生84.50万人，毕业生30.57万人；普通初中在校生141.49万人，小学在校生346.13万人，幼儿园在园幼儿169.95万人。</w:t>
      </w:r>
    </w:p>
    <w:p>
      <w:pPr>
        <w:pStyle w:val="3"/>
        <w:keepNext w:val="0"/>
        <w:keepLines w:val="0"/>
        <w:widowControl/>
        <w:suppressLineNumbers w:val="0"/>
        <w:spacing w:before="0" w:beforeAutospacing="0" w:after="210" w:afterAutospacing="0" w:line="525" w:lineRule="atLeast"/>
        <w:ind w:left="826" w:right="826"/>
      </w:pPr>
      <w:r>
        <w:rPr>
          <w:sz w:val="24"/>
          <w:szCs w:val="24"/>
          <w:shd w:val="clear" w:fill="FFFFFF"/>
        </w:rPr>
        <w:t>　　科学研究和技术开发取得新的成果。全年共登记重大科技成果2022项。其中,基础理论成果17项，应用技术成果1974项，软科学成果31项。全年共签订技术合同24248项，技术合同成交金额927.73亿元，合同金额比上年增长11.7%。</w:t>
      </w:r>
    </w:p>
    <w:p>
      <w:pPr>
        <w:pStyle w:val="3"/>
        <w:keepNext w:val="0"/>
        <w:keepLines w:val="0"/>
        <w:widowControl/>
        <w:suppressLineNumbers w:val="0"/>
        <w:spacing w:before="0" w:beforeAutospacing="0" w:after="210" w:afterAutospacing="0" w:line="525" w:lineRule="atLeast"/>
        <w:ind w:left="826" w:right="826"/>
      </w:pPr>
      <w:r>
        <w:rPr>
          <w:sz w:val="24"/>
          <w:szCs w:val="24"/>
          <w:shd w:val="clear" w:fill="FFFFFF"/>
        </w:rPr>
        <w:t>　　全省科学研究与实验发展(R＆D)经费支出620亿元，增长10%，占全省生产总值的1.92%。全年共争取国家高技术产业发展项目 6个，争取国家资金8.3亿元。</w:t>
      </w:r>
    </w:p>
    <w:p>
      <w:pPr>
        <w:pStyle w:val="3"/>
        <w:keepNext w:val="0"/>
        <w:keepLines w:val="0"/>
        <w:widowControl/>
        <w:suppressLineNumbers w:val="0"/>
        <w:spacing w:before="0" w:beforeAutospacing="0" w:after="210" w:afterAutospacing="0" w:line="525" w:lineRule="atLeast"/>
        <w:ind w:left="826" w:right="826"/>
      </w:pPr>
      <w:r>
        <w:rPr>
          <w:sz w:val="24"/>
          <w:szCs w:val="24"/>
          <w:shd w:val="clear" w:fill="FFFFFF"/>
        </w:rPr>
        <w:t>　　全省具备向社会出具检测报告的产品质量监督检验机构有123个，其中国家产品质量监督检验中心31个。累计有8757家企业通过ISO9000体系认证；企业获得强制性认证证书12278张。法定计量技术机构有 192个，强制检定计量器具173万台件。</w:t>
      </w:r>
    </w:p>
    <w:p>
      <w:pPr>
        <w:pStyle w:val="3"/>
        <w:keepNext w:val="0"/>
        <w:keepLines w:val="0"/>
        <w:widowControl/>
        <w:suppressLineNumbers w:val="0"/>
        <w:spacing w:before="0" w:beforeAutospacing="0" w:after="210" w:afterAutospacing="0" w:line="525" w:lineRule="atLeast"/>
        <w:ind w:left="826" w:right="826"/>
      </w:pPr>
      <w:r>
        <w:rPr>
          <w:sz w:val="24"/>
          <w:szCs w:val="24"/>
          <w:shd w:val="clear" w:fill="FFFFFF"/>
        </w:rPr>
        <w:t>　　全省天气雷达观测站点有14个，卫星云图接受站点17个。地震遥测台网3个，地震台站 47个。</w:t>
      </w:r>
    </w:p>
    <w:p>
      <w:pPr>
        <w:pStyle w:val="3"/>
        <w:keepNext w:val="0"/>
        <w:keepLines w:val="0"/>
        <w:widowControl/>
        <w:suppressLineNumbers w:val="0"/>
        <w:spacing w:before="0" w:beforeAutospacing="0" w:after="210" w:afterAutospacing="0" w:line="525" w:lineRule="atLeast"/>
        <w:ind w:left="826" w:right="826"/>
      </w:pPr>
      <w:r>
        <w:rPr>
          <w:sz w:val="24"/>
          <w:szCs w:val="24"/>
          <w:shd w:val="clear" w:fill="FFFFFF"/>
        </w:rPr>
        <w:t>　　</w:t>
      </w:r>
      <w:r>
        <w:rPr>
          <w:rStyle w:val="5"/>
          <w:sz w:val="24"/>
          <w:szCs w:val="24"/>
          <w:shd w:val="clear" w:fill="FFFFFF"/>
        </w:rPr>
        <w:t>十、文化、卫生和体育</w:t>
      </w:r>
    </w:p>
    <w:p>
      <w:pPr>
        <w:pStyle w:val="3"/>
        <w:keepNext w:val="0"/>
        <w:keepLines w:val="0"/>
        <w:widowControl/>
        <w:suppressLineNumbers w:val="0"/>
        <w:spacing w:before="0" w:beforeAutospacing="0" w:after="210" w:afterAutospacing="0" w:line="525" w:lineRule="atLeast"/>
        <w:ind w:left="826" w:right="826"/>
      </w:pPr>
      <w:r>
        <w:rPr>
          <w:sz w:val="24"/>
          <w:szCs w:val="24"/>
          <w:shd w:val="clear" w:fill="FFFFFF"/>
        </w:rPr>
        <w:t>　　2016年末，全省共有国有艺术表演团体87个，群艺馆、文化馆122个，公共图书馆 113个，博物馆156个。电影放映管理机构96个，放映单位1558个。广播电台6座，电视台6座，广播电视台77座，有线电视用户1064.87万户。全年出版全国性和省级报纸13.13亿份，各类期刊2.03亿册，图书2.61亿册。</w:t>
      </w:r>
    </w:p>
    <w:p>
      <w:pPr>
        <w:pStyle w:val="3"/>
        <w:keepNext w:val="0"/>
        <w:keepLines w:val="0"/>
        <w:widowControl/>
        <w:suppressLineNumbers w:val="0"/>
        <w:spacing w:before="0" w:beforeAutospacing="0" w:after="210" w:afterAutospacing="0" w:line="525" w:lineRule="atLeast"/>
        <w:ind w:left="826" w:right="826"/>
      </w:pPr>
      <w:r>
        <w:rPr>
          <w:sz w:val="24"/>
          <w:szCs w:val="24"/>
          <w:shd w:val="clear" w:fill="FFFFFF"/>
        </w:rPr>
        <w:t>　　全省共有医疗卫生机构36248家，其中医院925家，基层医疗卫生机构34706家，专业公共卫生机构549家；全省共有卫生计生人员总数49.34万人，其中执业（助理）医师14.15万人，注册护士17.47万人；全省共有医疗卫生机构床位 36.01万张，其中医院床位25.66万张，社区卫生服务机构床位1.46万张，卫生院床位7.29万张。</w:t>
      </w:r>
    </w:p>
    <w:p>
      <w:pPr>
        <w:pStyle w:val="3"/>
        <w:keepNext w:val="0"/>
        <w:keepLines w:val="0"/>
        <w:widowControl/>
        <w:suppressLineNumbers w:val="0"/>
        <w:spacing w:before="0" w:beforeAutospacing="0" w:after="210" w:afterAutospacing="0" w:line="525" w:lineRule="atLeast"/>
        <w:ind w:left="826" w:right="826"/>
      </w:pPr>
      <w:r>
        <w:rPr>
          <w:sz w:val="24"/>
          <w:szCs w:val="24"/>
          <w:shd w:val="clear" w:fill="FFFFFF"/>
        </w:rPr>
        <w:t>　　全年全省运动健儿在国际比赛中共获得冠军50项次、亚军32项次、季军25项次，其中奥运会项目最高水平比赛冠军12项次、亚军11项次、季军23项次；在各类全国比赛中，获冠军116项次、亚军102项次、第三名131项次，其中，全运会项目全国最高水平比赛中冠军12项次、亚军11项次、第三名23项次。全年销售体育彩票66.96亿元。</w:t>
      </w:r>
    </w:p>
    <w:p>
      <w:pPr>
        <w:pStyle w:val="3"/>
        <w:keepNext w:val="0"/>
        <w:keepLines w:val="0"/>
        <w:widowControl/>
        <w:suppressLineNumbers w:val="0"/>
        <w:spacing w:before="0" w:beforeAutospacing="0" w:after="210" w:afterAutospacing="0" w:line="525" w:lineRule="atLeast"/>
        <w:ind w:left="826" w:right="826"/>
      </w:pPr>
      <w:r>
        <w:rPr>
          <w:sz w:val="24"/>
          <w:szCs w:val="24"/>
          <w:shd w:val="clear" w:fill="FFFFFF"/>
        </w:rPr>
        <w:t>　　</w:t>
      </w:r>
      <w:r>
        <w:rPr>
          <w:rStyle w:val="5"/>
          <w:sz w:val="24"/>
          <w:szCs w:val="24"/>
          <w:shd w:val="clear" w:fill="FFFFFF"/>
        </w:rPr>
        <w:t>十一、人口、居民生活和社会保障</w:t>
      </w:r>
    </w:p>
    <w:p>
      <w:pPr>
        <w:pStyle w:val="3"/>
        <w:keepNext w:val="0"/>
        <w:keepLines w:val="0"/>
        <w:widowControl/>
        <w:suppressLineNumbers w:val="0"/>
        <w:spacing w:before="0" w:beforeAutospacing="0" w:after="210" w:afterAutospacing="0" w:line="525" w:lineRule="atLeast"/>
        <w:ind w:left="826" w:right="826"/>
      </w:pPr>
      <w:r>
        <w:rPr>
          <w:sz w:val="24"/>
          <w:szCs w:val="24"/>
          <w:shd w:val="clear" w:fill="FFFFFF"/>
        </w:rPr>
        <w:t>　　年末全省常住人口5885万人，其中：城镇3419.19万人，乡村2465.81万人。城镇化率达到58.1%。全年出生人口70.65万人,出生率为12.04‰；死亡人口40.9万人,死亡率为6.97‰,人口自然增长率为5.07‰。</w:t>
      </w:r>
    </w:p>
    <w:p>
      <w:pPr>
        <w:pStyle w:val="3"/>
        <w:keepNext w:val="0"/>
        <w:keepLines w:val="0"/>
        <w:widowControl/>
        <w:suppressLineNumbers w:val="0"/>
        <w:spacing w:before="0" w:beforeAutospacing="0" w:after="210" w:afterAutospacing="0" w:line="525" w:lineRule="atLeast"/>
        <w:ind w:left="826" w:right="826"/>
      </w:pPr>
      <w:r>
        <w:rPr>
          <w:sz w:val="24"/>
          <w:szCs w:val="24"/>
          <w:shd w:val="clear" w:fill="FFFFFF"/>
        </w:rPr>
        <w:t>　　居民收入稳定增长。2016年，湖北全体居民人均可支配收入21787 元，增长8.8%，其中，城镇常住居民人均可支配收入29386元，增长8.6%；农村常住居民人均可支配收入12725元，增长7.4%。</w:t>
      </w:r>
    </w:p>
    <w:p>
      <w:pPr>
        <w:pStyle w:val="3"/>
        <w:keepNext w:val="0"/>
        <w:keepLines w:val="0"/>
        <w:widowControl/>
        <w:suppressLineNumbers w:val="0"/>
        <w:spacing w:before="0" w:beforeAutospacing="0" w:after="210" w:afterAutospacing="0" w:line="525" w:lineRule="atLeast"/>
        <w:ind w:left="826" w:right="826"/>
      </w:pPr>
      <w:r>
        <w:rPr>
          <w:sz w:val="24"/>
          <w:szCs w:val="24"/>
          <w:shd w:val="clear" w:fill="FFFFFF"/>
        </w:rPr>
        <w:t>　　社会保障进一步加强。年末全省参加城镇职工基本养老保险1354.40万人，其中：在职职工896.40万人，离退休人员457.90万人；参加城乡居民基本养老保险2219.70万人；参加城镇职工基本医疗保险960.99万人；参加城镇居民基本医疗保险1020.80万人；参加工伤保险651.08万人；参加生育保险511.85万人;参加失业保险人数541.88万人，全年累计领取失业保险金人数13.35万人。</w:t>
      </w:r>
    </w:p>
    <w:p>
      <w:pPr>
        <w:pStyle w:val="3"/>
        <w:keepNext w:val="0"/>
        <w:keepLines w:val="0"/>
        <w:widowControl/>
        <w:suppressLineNumbers w:val="0"/>
        <w:spacing w:before="0" w:beforeAutospacing="0" w:after="210" w:afterAutospacing="0" w:line="525" w:lineRule="atLeast"/>
        <w:ind w:left="826" w:right="826"/>
      </w:pPr>
      <w:r>
        <w:rPr>
          <w:sz w:val="24"/>
          <w:szCs w:val="24"/>
          <w:shd w:val="clear" w:fill="FFFFFF"/>
        </w:rPr>
        <w:t>　　全年全省城镇居民最低生活保障对象55.3万人，农村居民最低生活保障人数138.2万人，国家抚恤、补助各类优抚对象44.2万人。社会福利事业不断发展。年末全省各类社会福利收养床位33.2万张，城镇社区服务中心、站共计5112个。全年销售社会福利彩票101.38亿元。</w:t>
      </w:r>
    </w:p>
    <w:p>
      <w:pPr>
        <w:pStyle w:val="3"/>
        <w:keepNext w:val="0"/>
        <w:keepLines w:val="0"/>
        <w:widowControl/>
        <w:suppressLineNumbers w:val="0"/>
        <w:spacing w:before="0" w:beforeAutospacing="0" w:after="210" w:afterAutospacing="0" w:line="525" w:lineRule="atLeast"/>
        <w:ind w:left="826" w:right="826"/>
      </w:pPr>
      <w:r>
        <w:rPr>
          <w:sz w:val="24"/>
          <w:szCs w:val="24"/>
          <w:shd w:val="clear" w:fill="FFFFFF"/>
        </w:rPr>
        <w:t>　　</w:t>
      </w:r>
      <w:r>
        <w:rPr>
          <w:rStyle w:val="5"/>
          <w:sz w:val="24"/>
          <w:szCs w:val="24"/>
          <w:shd w:val="clear" w:fill="FFFFFF"/>
        </w:rPr>
        <w:t>十二、节能降耗、资源环境</w:t>
      </w:r>
    </w:p>
    <w:p>
      <w:pPr>
        <w:pStyle w:val="3"/>
        <w:keepNext w:val="0"/>
        <w:keepLines w:val="0"/>
        <w:widowControl/>
        <w:suppressLineNumbers w:val="0"/>
        <w:spacing w:before="0" w:beforeAutospacing="0" w:after="210" w:afterAutospacing="0" w:line="525" w:lineRule="atLeast"/>
        <w:ind w:left="826" w:right="826"/>
      </w:pPr>
      <w:r>
        <w:rPr>
          <w:sz w:val="24"/>
          <w:szCs w:val="24"/>
          <w:shd w:val="clear" w:fill="FFFFFF"/>
        </w:rPr>
        <w:t>　　全省继续大力推进节能降耗工作，单位GDP能耗继续保持下降态势，年初确定的3.4%的下降目标顺利完成。工业企业吨粗铜综合能耗比上年下降12.2%，吨钢综合能耗下降5.4%，单位烧碱综合能耗下降0.2%，吨水泥综合能耗下降4.8%，每千瓦时火力发电标准煤耗下降1.2%。</w:t>
      </w:r>
    </w:p>
    <w:p>
      <w:pPr>
        <w:pStyle w:val="3"/>
        <w:keepNext w:val="0"/>
        <w:keepLines w:val="0"/>
        <w:widowControl/>
        <w:suppressLineNumbers w:val="0"/>
        <w:spacing w:before="0" w:beforeAutospacing="0" w:after="210" w:afterAutospacing="0" w:line="525" w:lineRule="atLeast"/>
        <w:ind w:left="826" w:right="826"/>
      </w:pPr>
      <w:r>
        <w:rPr>
          <w:sz w:val="24"/>
          <w:szCs w:val="24"/>
          <w:shd w:val="clear" w:fill="FFFFFF"/>
        </w:rPr>
        <w:t>　　长江干流总体水质状况为优。监测的18个断面水质均达到Ⅱ～Ⅲ类，其中Ⅱ类占50%，Ⅲ类占50%。与上年相比，监测断面增加了3个，长江干流水质总体保持稳定。</w:t>
      </w:r>
    </w:p>
    <w:p>
      <w:pPr>
        <w:pStyle w:val="3"/>
        <w:keepNext w:val="0"/>
        <w:keepLines w:val="0"/>
        <w:widowControl/>
        <w:suppressLineNumbers w:val="0"/>
        <w:spacing w:before="0" w:beforeAutospacing="0" w:after="210" w:afterAutospacing="0" w:line="525" w:lineRule="atLeast"/>
        <w:ind w:left="826" w:right="826"/>
      </w:pPr>
      <w:r>
        <w:rPr>
          <w:sz w:val="24"/>
          <w:szCs w:val="24"/>
          <w:shd w:val="clear" w:fill="FFFFFF"/>
        </w:rPr>
        <w:t>　　全省累计已发现矿种149种，累计已查明资源储量的矿种92种。2016年我省新发现矿产地共计18处，其中特大型2处，大型1处，中型14处，小型1处。</w:t>
      </w:r>
    </w:p>
    <w:p>
      <w:pPr>
        <w:pStyle w:val="3"/>
        <w:keepNext w:val="0"/>
        <w:keepLines w:val="0"/>
        <w:widowControl/>
        <w:suppressLineNumbers w:val="0"/>
        <w:spacing w:before="0" w:beforeAutospacing="0" w:after="210" w:afterAutospacing="0" w:line="525" w:lineRule="atLeast"/>
        <w:ind w:left="826" w:right="826"/>
      </w:pPr>
      <w:r>
        <w:rPr>
          <w:sz w:val="24"/>
          <w:szCs w:val="24"/>
          <w:shd w:val="clear" w:fill="FFFFFF"/>
        </w:rPr>
        <w:t>　　全省自然保护区达79个，其中国家级自然保护区19个，省级自然保护区27个，自然保护区面积110.8万公顷。</w:t>
      </w:r>
    </w:p>
    <w:p>
      <w:pPr>
        <w:pStyle w:val="3"/>
        <w:keepNext w:val="0"/>
        <w:keepLines w:val="0"/>
        <w:widowControl/>
        <w:suppressLineNumbers w:val="0"/>
        <w:spacing w:before="0" w:beforeAutospacing="0" w:after="210" w:afterAutospacing="0" w:line="525" w:lineRule="atLeast"/>
        <w:ind w:left="826" w:right="826"/>
      </w:pPr>
      <w:r>
        <w:rPr>
          <w:sz w:val="24"/>
          <w:szCs w:val="24"/>
          <w:shd w:val="clear" w:fill="FFFFFF"/>
        </w:rPr>
        <w:t>　　注：本公报所列数据为快报数。</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listo MT">
    <w:altName w:val="Segoe Print"/>
    <w:panose1 w:val="02040603050505030304"/>
    <w:charset w:val="00"/>
    <w:family w:val="auto"/>
    <w:pitch w:val="default"/>
    <w:sig w:usb0="00000000" w:usb1="00000000" w:usb2="00000000" w:usb3="00000000" w:csb0="20000001" w:csb1="00000000"/>
  </w:font>
  <w:font w:name="Arial Rounded MT Bold">
    <w:altName w:val="Arial"/>
    <w:panose1 w:val="020F0704030504030204"/>
    <w:charset w:val="00"/>
    <w:family w:val="auto"/>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3515C9"/>
    <w:rsid w:val="223B5EF6"/>
    <w:rsid w:val="7D3515C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4">
    <w:name w:val="Default Paragraph Font"/>
    <w:semiHidden/>
    <w:qFormat/>
    <w:uiPriority w:val="0"/>
  </w:style>
  <w:style w:type="table" w:default="1" w:styleId="13">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uiPriority w:val="0"/>
    <w:rPr>
      <w:color w:val="252525"/>
      <w:u w:val="none"/>
    </w:rPr>
  </w:style>
  <w:style w:type="character" w:styleId="7">
    <w:name w:val="Emphasis"/>
    <w:basedOn w:val="4"/>
    <w:qFormat/>
    <w:uiPriority w:val="0"/>
  </w:style>
  <w:style w:type="character" w:styleId="8">
    <w:name w:val="HTML Definition"/>
    <w:basedOn w:val="4"/>
    <w:uiPriority w:val="0"/>
  </w:style>
  <w:style w:type="character" w:styleId="9">
    <w:name w:val="HTML Typewriter"/>
    <w:basedOn w:val="4"/>
    <w:uiPriority w:val="0"/>
    <w:rPr>
      <w:color w:val="FFFFFF"/>
    </w:rPr>
  </w:style>
  <w:style w:type="character" w:styleId="10">
    <w:name w:val="HTML Variable"/>
    <w:basedOn w:val="4"/>
    <w:uiPriority w:val="0"/>
  </w:style>
  <w:style w:type="character" w:styleId="11">
    <w:name w:val="Hyperlink"/>
    <w:basedOn w:val="4"/>
    <w:uiPriority w:val="0"/>
    <w:rPr>
      <w:color w:val="252525"/>
      <w:u w:val="none"/>
    </w:rPr>
  </w:style>
  <w:style w:type="character" w:styleId="12">
    <w:name w:val="HTML Cite"/>
    <w:basedOn w:val="4"/>
    <w:uiPriority w:val="0"/>
  </w:style>
  <w:style w:type="character" w:customStyle="1" w:styleId="14">
    <w:name w:val="tag"/>
    <w:basedOn w:val="4"/>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Office_10.1.0.6490_F1E327BC-269C-435d-A152-05C5408002CA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2017-06-09T01:09:00Z</dcterms:created>
  <dc:creator>Administrator</dc:creator>
  <cp:lastModifiedBy>yepeng</cp:lastModifiedBy>
  <dcterms:modified xsi:type="dcterms:W3CDTF">2017-06-14T00:45:07Z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